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
        <w:spacing w:before="120" w:after="120"/>
        <w:rPr>
          <w:lang w:eastAsia="fr-FR"/>
        </w:rPr>
      </w:pPr>
      <w:r>
        <w:rPr/>
        <mc:AlternateContent>
          <mc:Choice Requires="wps">
            <w:drawing>
              <wp:inline distT="0" distB="0" distL="0" distR="0" wp14:anchorId="4FD33669">
                <wp:extent cx="5848985" cy="1188720"/>
                <wp:effectExtent l="0" t="0" r="0" b="0"/>
                <wp:docPr id="1" name="Cadre1"/>
                <a:graphic xmlns:a="http://schemas.openxmlformats.org/drawingml/2006/main">
                  <a:graphicData uri="http://schemas.microsoft.com/office/word/2010/wordprocessingShape">
                    <wps:wsp>
                      <wps:cNvSpPr/>
                      <wps:spPr>
                        <a:xfrm>
                          <a:off x="0" y="0"/>
                          <a:ext cx="5848920" cy="1188720"/>
                        </a:xfrm>
                        <a:prstGeom prst="rect">
                          <a:avLst/>
                        </a:prstGeom>
                        <a:solidFill>
                          <a:srgbClr val="ffffff"/>
                        </a:solidFill>
                        <a:ln w="635">
                          <a:solidFill>
                            <a:srgbClr val="c00000"/>
                          </a:solidFill>
                          <a:round/>
                        </a:ln>
                      </wps:spPr>
                      <wps:style>
                        <a:lnRef idx="0"/>
                        <a:fillRef idx="0"/>
                        <a:effectRef idx="0"/>
                        <a:fontRef idx="minor"/>
                      </wps:style>
                      <wps:txbx>
                        <w:txbxContent>
                          <w:p>
                            <w:pPr>
                              <w:pStyle w:val="Corpsdetexte"/>
                              <w:jc w:val="center"/>
                              <w:rPr>
                                <w:rFonts w:ascii="Calibri" w:hAnsi="Calibri" w:cs="Calibri"/>
                                <w:b/>
                                <w:bCs/>
                              </w:rPr>
                            </w:pPr>
                            <w:bookmarkStart w:id="0" w:name="_GoBack"/>
                            <w:bookmarkEnd w:id="0"/>
                            <w:r>
                              <w:rPr>
                                <w:rFonts w:cs="Calibri" w:ascii="Calibri" w:hAnsi="Calibri"/>
                                <w:b/>
                                <w:bCs/>
                              </w:rPr>
                              <w:t>Analyse d’impact relative à la protection des données</w:t>
                            </w:r>
                          </w:p>
                          <w:p>
                            <w:pPr>
                              <w:pStyle w:val="Titre4"/>
                              <w:numPr>
                                <w:ilvl w:val="3"/>
                                <w:numId w:val="1"/>
                              </w:numPr>
                              <w:jc w:val="center"/>
                              <w:rPr/>
                            </w:pPr>
                            <w:r>
                              <w:rPr>
                                <w:rStyle w:val="IntenseEmphasis"/>
                                <w:rFonts w:cs="Calibri" w:ascii="Calibri" w:hAnsi="Calibri"/>
                                <w:sz w:val="32"/>
                              </w:rPr>
                              <w:t>Traitements de données à caractère personnel provenant des systèmes de vidéoprotection mis en œuvre par les personnes morales de droit privé</w:t>
                            </w:r>
                          </w:p>
                          <w:p>
                            <w:pPr>
                              <w:pStyle w:val="Corpsdetexte"/>
                              <w:spacing w:before="0" w:after="120"/>
                              <w:jc w:val="center"/>
                              <w:rPr>
                                <w:rFonts w:ascii="Calibri" w:hAnsi="Calibri" w:cs="Calibri"/>
                                <w:b/>
                                <w:bCs/>
                                <w:color w:val="1F4D78"/>
                                <w:sz w:val="32"/>
                              </w:rPr>
                            </w:pPr>
                            <w:r>
                              <w:rPr/>
                            </w:r>
                          </w:p>
                        </w:txbxContent>
                      </wps:txbx>
                      <wps:bodyPr lIns="54000" rIns="54000" tIns="54000" bIns="54000" anchor="t">
                        <a:noAutofit/>
                      </wps:bodyPr>
                    </wps:wsp>
                  </a:graphicData>
                </a:graphic>
              </wp:inline>
            </w:drawing>
          </mc:Choice>
          <mc:Fallback>
            <w:pict>
              <v:rect id="shape_0" ID="Cadre1" path="m0,0l-2147483645,0l-2147483645,-2147483646l0,-2147483646xe" fillcolor="white" stroked="t" o:allowincell="f" style="position:absolute;margin-left:0pt;margin-top:-93.65pt;width:460.5pt;height:93.55pt;mso-wrap-style:square;v-text-anchor:top;mso-position-vertical:top" wp14:anchorId="4FD33669">
                <v:fill o:detectmouseclick="t" type="solid" color2="black"/>
                <v:stroke color="#c00000" weight="720" joinstyle="round" endcap="flat"/>
                <v:textbox>
                  <w:txbxContent>
                    <w:p>
                      <w:pPr>
                        <w:pStyle w:val="Corpsdetexte"/>
                        <w:jc w:val="center"/>
                        <w:rPr>
                          <w:rFonts w:ascii="Calibri" w:hAnsi="Calibri" w:cs="Calibri"/>
                          <w:b/>
                          <w:bCs/>
                        </w:rPr>
                      </w:pPr>
                      <w:r>
                        <w:rPr>
                          <w:rFonts w:cs="Calibri" w:ascii="Calibri" w:hAnsi="Calibri"/>
                          <w:b/>
                          <w:bCs/>
                        </w:rPr>
                        <w:t>Analyse d’impact relative à la protection des données</w:t>
                      </w:r>
                    </w:p>
                    <w:p>
                      <w:pPr>
                        <w:pStyle w:val="Titre4"/>
                        <w:numPr>
                          <w:ilvl w:val="3"/>
                          <w:numId w:val="1"/>
                        </w:numPr>
                        <w:jc w:val="center"/>
                        <w:rPr/>
                      </w:pPr>
                      <w:r>
                        <w:rPr>
                          <w:rStyle w:val="IntenseEmphasis"/>
                          <w:rFonts w:cs="Calibri" w:ascii="Calibri" w:hAnsi="Calibri"/>
                          <w:sz w:val="32"/>
                        </w:rPr>
                        <w:t>Traitements de données à caractère personnel provenant des systèmes de vidéoprotection mis en œuvre par les personnes morales de droit privé</w:t>
                      </w:r>
                    </w:p>
                    <w:p>
                      <w:pPr>
                        <w:pStyle w:val="Corpsdetexte"/>
                        <w:spacing w:before="0" w:after="120"/>
                        <w:jc w:val="center"/>
                        <w:rPr>
                          <w:rFonts w:ascii="Calibri" w:hAnsi="Calibri" w:cs="Calibri"/>
                          <w:b/>
                          <w:bCs/>
                          <w:color w:val="1F4D78"/>
                          <w:sz w:val="32"/>
                        </w:rPr>
                      </w:pPr>
                      <w:r>
                        <w:rPr/>
                      </w:r>
                    </w:p>
                  </w:txbxContent>
                </v:textbox>
                <w10:wrap type="square"/>
              </v:rect>
            </w:pict>
          </mc:Fallback>
        </mc:AlternateContent>
      </w:r>
    </w:p>
    <w:p>
      <w:pPr>
        <w:pStyle w:val="P"/>
        <w:rPr/>
      </w:pPr>
      <w:r>
        <w:rPr/>
        <mc:AlternateContent>
          <mc:Choice Requires="wps">
            <w:drawing>
              <wp:anchor behindDoc="0" distT="635" distB="635" distL="114935" distR="116205" simplePos="0" locked="0" layoutInCell="0" allowOverlap="1" relativeHeight="16" wp14:anchorId="16FBEC84">
                <wp:simplePos x="0" y="0"/>
                <wp:positionH relativeFrom="column">
                  <wp:align>center</wp:align>
                </wp:positionH>
                <wp:positionV relativeFrom="paragraph">
                  <wp:posOffset>72390</wp:posOffset>
                </wp:positionV>
                <wp:extent cx="635" cy="635"/>
                <wp:effectExtent l="1270" t="1270" r="635" b="635"/>
                <wp:wrapSquare wrapText="bothSides"/>
                <wp:docPr id="2" name="Forme2"/>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cap="sq" w="720">
                          <a:solidFill>
                            <a:srgbClr val="c00000"/>
                          </a:solidFill>
                          <a:round/>
                        </a:ln>
                      </wps:spPr>
                      <wps:style>
                        <a:lnRef idx="0"/>
                        <a:fillRef idx="0"/>
                        <a:effectRef idx="0"/>
                        <a:fontRef idx="minor"/>
                      </wps:style>
                      <wps:bodyPr/>
                    </wps:wsp>
                  </a:graphicData>
                </a:graphic>
              </wp:anchor>
            </w:drawing>
          </mc:Choice>
          <mc:Fallback>
            <w:pict>
              <v:rect id="shape_0" ID="Forme2" path="m0,0l-2147483645,0l-2147483645,-2147483646l0,-2147483646xe" fillcolor="white" stroked="t" o:allowincell="f" style="position:absolute;margin-left:248pt;margin-top:5.7pt;width:0pt;height:0pt;mso-wrap-style:none;v-text-anchor:middle;mso-position-horizontal:center" wp14:anchorId="16FBEC84">
                <v:fill o:detectmouseclick="t" type="solid" color2="black"/>
                <v:stroke color="#c00000" weight="720" joinstyle="round" endcap="square"/>
                <w10:wrap type="square"/>
              </v:rect>
            </w:pict>
          </mc:Fallback>
        </mc:AlternateContent>
      </w:r>
    </w:p>
    <w:p>
      <w:pPr>
        <w:pStyle w:val="P"/>
        <w:rPr/>
      </w:pPr>
      <w:r>
        <w:rPr/>
        <w:t xml:space="preserve">Responsable du traitement : </w:t>
      </w:r>
    </w:p>
    <w:p>
      <w:pPr>
        <w:pStyle w:val="P"/>
        <w:ind w:left="708" w:hanging="0"/>
        <w:rPr/>
      </w:pPr>
      <w:r>
        <w:rPr/>
        <w:tab/>
        <w:t>Identité : [</w:t>
      </w:r>
      <w:r>
        <w:rPr>
          <w:highlight w:val="yellow"/>
        </w:rPr>
        <w:t>A COMPLETER</w:t>
      </w:r>
      <w:r>
        <w:rPr/>
        <w:t>]</w:t>
      </w:r>
    </w:p>
    <w:p>
      <w:pPr>
        <w:pStyle w:val="P"/>
        <w:ind w:left="708" w:hanging="0"/>
        <w:rPr/>
      </w:pPr>
      <w:r>
        <w:rPr/>
        <w:tab/>
        <w:t>Adresse : [</w:t>
      </w:r>
      <w:r>
        <w:rPr>
          <w:highlight w:val="yellow"/>
        </w:rPr>
        <w:t>A COMPLETER</w:t>
      </w:r>
      <w:r>
        <w:rPr/>
        <w:t>]</w:t>
      </w:r>
    </w:p>
    <w:p>
      <w:pPr>
        <w:pStyle w:val="P"/>
        <w:rPr/>
      </w:pPr>
      <w:r>
        <w:rPr/>
        <w:t>Service gestionnaire :</w:t>
      </w:r>
    </w:p>
    <w:p>
      <w:pPr>
        <w:pStyle w:val="P"/>
        <w:ind w:left="708" w:hanging="0"/>
        <w:rPr/>
      </w:pPr>
      <w:r>
        <w:rPr/>
        <w:tab/>
        <w:t>Direction : [</w:t>
      </w:r>
      <w:r>
        <w:rPr>
          <w:highlight w:val="yellow"/>
        </w:rPr>
        <w:t>A COMPLETER</w:t>
      </w:r>
      <w:r>
        <w:rPr/>
        <w:t>]</w:t>
      </w:r>
    </w:p>
    <w:p>
      <w:pPr>
        <w:pStyle w:val="P"/>
        <w:ind w:left="708" w:hanging="0"/>
        <w:rPr/>
      </w:pPr>
      <w:r>
        <w:rPr/>
        <w:tab/>
        <w:t>Adresse : [</w:t>
      </w:r>
      <w:r>
        <w:rPr>
          <w:highlight w:val="yellow"/>
        </w:rPr>
        <w:t>A COMPLETER</w:t>
      </w:r>
      <w:r>
        <w:rPr/>
        <w:t>]</w:t>
      </w:r>
    </w:p>
    <w:p>
      <w:pPr>
        <w:pStyle w:val="Corpsdetexte"/>
        <w:rPr>
          <w:b/>
        </w:rPr>
      </w:pPr>
      <w:r>
        <w:rPr>
          <w:b/>
        </w:rPr>
      </w:r>
    </w:p>
    <w:p>
      <w:pPr>
        <w:pStyle w:val="Corpsdetexte"/>
        <w:rPr>
          <w:b/>
        </w:rPr>
      </w:pPr>
      <w:r>
        <w:rPr>
          <w:b/>
        </w:rPr>
      </w:r>
    </w:p>
    <w:p>
      <w:pPr>
        <w:pStyle w:val="Titredetabledesmatires"/>
        <w:ind w:left="0" w:hanging="0"/>
        <w:jc w:val="center"/>
        <w:rPr>
          <w:rFonts w:ascii="Calibri" w:hAnsi="Calibri" w:eastAsia="Times New Roman" w:cs="Calibri"/>
          <w:b w:val="false"/>
          <w:bCs w:val="false"/>
          <w:caps w:val="false"/>
          <w:smallCaps w:val="false"/>
          <w:spacing w:val="0"/>
          <w:sz w:val="22"/>
          <w:szCs w:val="20"/>
          <w:u w:val="single"/>
        </w:rPr>
      </w:pPr>
      <w:r>
        <w:rPr>
          <w:rFonts w:eastAsia="Times New Roman" w:cs="Calibri" w:ascii="Calibri" w:hAnsi="Calibri"/>
          <w:b w:val="false"/>
          <w:bCs w:val="false"/>
          <w:caps w:val="false"/>
          <w:smallCaps w:val="false"/>
          <w:spacing w:val="0"/>
          <w:sz w:val="22"/>
          <w:szCs w:val="20"/>
          <w:u w:val="single"/>
        </w:rPr>
        <w:t>TABLE DES MATIERES</w:t>
      </w:r>
    </w:p>
    <w:p>
      <w:pPr>
        <w:pStyle w:val="Normal"/>
        <w:rPr>
          <w:rFonts w:cs="Arial"/>
          <w:b/>
          <w:bCs/>
          <w:caps/>
          <w:szCs w:val="20"/>
          <w:u w:val="single"/>
        </w:rPr>
      </w:pPr>
      <w:r>
        <w:rPr>
          <w:rFonts w:cs="Arial"/>
          <w:b/>
          <w:bCs/>
          <w:caps/>
          <w:szCs w:val="20"/>
          <w:u w:val="single"/>
        </w:rPr>
      </w:r>
    </w:p>
    <w:sdt>
      <w:sdtPr>
        <w:docPartObj>
          <w:docPartGallery w:val="Table of Contents"/>
          <w:docPartUnique w:val="true"/>
        </w:docPartObj>
      </w:sdtPr>
      <w:sdtContent>
        <w:p>
          <w:pPr>
            <w:pStyle w:val="Tabledesmatiresniveau1"/>
            <w:tabs>
              <w:tab w:val="clear" w:pos="720"/>
              <w:tab w:val="right" w:pos="9912" w:leader="dot"/>
            </w:tabs>
            <w:rPr/>
          </w:pPr>
          <w:r>
            <w:fldChar w:fldCharType="begin"/>
          </w:r>
          <w:r>
            <w:rPr>
              <w:webHidden/>
              <w:rStyle w:val="Sautdindex"/>
              <w:lang w:eastAsia="fr-FR"/>
            </w:rPr>
            <w:instrText xml:space="preserve"> TOC \z \o "1-3" \u \h</w:instrText>
          </w:r>
          <w:r>
            <w:rPr>
              <w:webHidden/>
              <w:rStyle w:val="Sautdindex"/>
              <w:lang w:eastAsia="fr-FR"/>
            </w:rPr>
            <w:fldChar w:fldCharType="separate"/>
          </w:r>
          <w:hyperlink w:anchor="__RefHeading___Toc134540967">
            <w:r>
              <w:rPr>
                <w:webHidden/>
                <w:rStyle w:val="Sautdindex"/>
                <w:lang w:eastAsia="fr-FR"/>
              </w:rPr>
              <w:t>1. Présentation générale</w:t>
              <w:tab/>
              <w:t>3</w:t>
            </w:r>
          </w:hyperlink>
        </w:p>
        <w:p>
          <w:pPr>
            <w:pStyle w:val="Tabledesmatiresniveau1"/>
            <w:tabs>
              <w:tab w:val="clear" w:pos="720"/>
              <w:tab w:val="right" w:pos="9912" w:leader="dot"/>
            </w:tabs>
            <w:rPr/>
          </w:pPr>
          <w:hyperlink w:anchor="__RefHeading___Toc134540968">
            <w:r>
              <w:rPr>
                <w:webHidden/>
                <w:rStyle w:val="Sautdindex"/>
                <w:lang w:eastAsia="fr-FR"/>
              </w:rPr>
              <w:t>2. Présentation du traitement des images</w:t>
              <w:tab/>
              <w:t>4</w:t>
            </w:r>
          </w:hyperlink>
        </w:p>
        <w:p>
          <w:pPr>
            <w:pStyle w:val="Tabledesmatiresniveau2"/>
            <w:tabs>
              <w:tab w:val="clear" w:pos="720"/>
              <w:tab w:val="right" w:pos="9912" w:leader="dot"/>
            </w:tabs>
            <w:rPr/>
          </w:pPr>
          <w:hyperlink w:anchor="__RefHeading___Toc134540969">
            <w:r>
              <w:rPr>
                <w:webHidden/>
                <w:rStyle w:val="Sautdindex"/>
                <w:lang w:eastAsia="fr-FR"/>
              </w:rPr>
              <w:t>2.1 Vue d’ensemble</w:t>
              <w:tab/>
              <w:t>4</w:t>
            </w:r>
          </w:hyperlink>
        </w:p>
        <w:p>
          <w:pPr>
            <w:pStyle w:val="Tabledesmatiresniveau2"/>
            <w:tabs>
              <w:tab w:val="clear" w:pos="720"/>
              <w:tab w:val="right" w:pos="9912" w:leader="dot"/>
            </w:tabs>
            <w:rPr/>
          </w:pPr>
          <w:hyperlink w:anchor="__RefHeading___Toc134540970">
            <w:r>
              <w:rPr>
                <w:webHidden/>
                <w:rStyle w:val="Sautdindex"/>
                <w:lang w:eastAsia="fr-FR"/>
              </w:rPr>
              <w:t>2.2. Données, processus et supports</w:t>
              <w:tab/>
              <w:t>6</w:t>
            </w:r>
          </w:hyperlink>
        </w:p>
        <w:p>
          <w:pPr>
            <w:pStyle w:val="Tabledesmatiresniveau3"/>
            <w:tabs>
              <w:tab w:val="clear" w:pos="720"/>
              <w:tab w:val="right" w:pos="9912" w:leader="dot"/>
            </w:tabs>
            <w:rPr/>
          </w:pPr>
          <w:hyperlink w:anchor="__RefHeading___Toc134540971">
            <w:r>
              <w:rPr>
                <w:webHidden/>
                <w:rStyle w:val="Sautdindex"/>
                <w:rFonts w:cs="Arial"/>
                <w:lang w:eastAsia="fr-FR"/>
              </w:rPr>
              <w:t>2.1.1 Description des données</w:t>
            </w:r>
            <w:r>
              <w:rPr>
                <w:rStyle w:val="Sautdindex"/>
                <w:lang w:eastAsia="fr-FR"/>
              </w:rPr>
              <w:tab/>
              <w:t>6</w:t>
            </w:r>
          </w:hyperlink>
        </w:p>
        <w:p>
          <w:pPr>
            <w:pStyle w:val="Tabledesmatiresniveau3"/>
            <w:tabs>
              <w:tab w:val="clear" w:pos="720"/>
              <w:tab w:val="right" w:pos="9912" w:leader="dot"/>
            </w:tabs>
            <w:rPr/>
          </w:pPr>
          <w:hyperlink w:anchor="__RefHeading___Toc134540972">
            <w:r>
              <w:rPr>
                <w:webHidden/>
                <w:rStyle w:val="Sautdindex"/>
                <w:lang w:eastAsia="fr-FR"/>
              </w:rPr>
              <w:t>2.1.2. Accédants</w:t>
              <w:tab/>
              <w:t>7</w:t>
            </w:r>
          </w:hyperlink>
        </w:p>
        <w:p>
          <w:pPr>
            <w:pStyle w:val="Tabledesmatiresniveau3"/>
            <w:tabs>
              <w:tab w:val="clear" w:pos="720"/>
              <w:tab w:val="right" w:pos="9912" w:leader="dot"/>
            </w:tabs>
            <w:rPr/>
          </w:pPr>
          <w:hyperlink w:anchor="__RefHeading___Toc134540973">
            <w:r>
              <w:rPr>
                <w:webHidden/>
                <w:rStyle w:val="Sautdindex"/>
                <w:lang w:eastAsia="fr-FR"/>
              </w:rPr>
              <w:t>2.1.3. Destinataires</w:t>
              <w:tab/>
              <w:t>9</w:t>
            </w:r>
          </w:hyperlink>
        </w:p>
        <w:p>
          <w:pPr>
            <w:pStyle w:val="Tabledesmatiresniveau3"/>
            <w:tabs>
              <w:tab w:val="clear" w:pos="720"/>
              <w:tab w:val="right" w:pos="9912" w:leader="dot"/>
            </w:tabs>
            <w:rPr/>
          </w:pPr>
          <w:hyperlink w:anchor="__RefHeading___Toc134540974">
            <w:r>
              <w:rPr>
                <w:webHidden/>
                <w:rStyle w:val="Sautdindex"/>
                <w:lang w:eastAsia="fr-FR"/>
              </w:rPr>
              <w:t>2.1.4. Données sensibles ou relatives aux condamnations pénales, infractions ou mesures de sûreté</w:t>
              <w:tab/>
              <w:t>9</w:t>
            </w:r>
          </w:hyperlink>
        </w:p>
        <w:p>
          <w:pPr>
            <w:pStyle w:val="Tabledesmatiresniveau3"/>
            <w:tabs>
              <w:tab w:val="clear" w:pos="720"/>
              <w:tab w:val="right" w:pos="9912" w:leader="dot"/>
            </w:tabs>
            <w:rPr/>
          </w:pPr>
          <w:hyperlink w:anchor="__RefHeading___Toc134540975">
            <w:r>
              <w:rPr>
                <w:webHidden/>
                <w:rStyle w:val="Sautdindex"/>
                <w:lang w:eastAsia="fr-FR"/>
              </w:rPr>
              <w:t>2.1.5. Description des traitements de données et supports</w:t>
              <w:tab/>
              <w:t>10</w:t>
            </w:r>
          </w:hyperlink>
        </w:p>
        <w:p>
          <w:pPr>
            <w:pStyle w:val="Tabledesmatiresniveau1"/>
            <w:tabs>
              <w:tab w:val="clear" w:pos="720"/>
              <w:tab w:val="right" w:pos="9912" w:leader="dot"/>
            </w:tabs>
            <w:rPr/>
          </w:pPr>
          <w:hyperlink w:anchor="__RefHeading___Toc134540976">
            <w:r>
              <w:rPr>
                <w:webHidden/>
                <w:rStyle w:val="Sautdindex"/>
                <w:lang w:eastAsia="fr-FR"/>
              </w:rPr>
              <w:t>3</w:t>
            </w:r>
            <w:r>
              <w:rPr>
                <w:rStyle w:val="Sautdindex"/>
                <w:rFonts w:cs="Calibri Light" w:ascii="Calibri Light" w:hAnsi="Calibri Light"/>
                <w:lang w:eastAsia="fr-FR"/>
              </w:rPr>
              <w:t>. Principes fondamentaux</w:t>
            </w:r>
            <w:r>
              <w:rPr>
                <w:rStyle w:val="Sautdindex"/>
                <w:lang w:eastAsia="fr-FR"/>
              </w:rPr>
              <w:tab/>
              <w:t>11</w:t>
            </w:r>
          </w:hyperlink>
        </w:p>
        <w:p>
          <w:pPr>
            <w:pStyle w:val="Tabledesmatiresniveau2"/>
            <w:tabs>
              <w:tab w:val="clear" w:pos="720"/>
              <w:tab w:val="right" w:pos="9912" w:leader="dot"/>
            </w:tabs>
            <w:rPr/>
          </w:pPr>
          <w:hyperlink w:anchor="__RefHeading___Toc134540977">
            <w:r>
              <w:rPr>
                <w:webHidden/>
                <w:rStyle w:val="Sautdindex"/>
                <w:rFonts w:cs="Calibri Light"/>
                <w:lang w:eastAsia="fr-FR"/>
              </w:rPr>
              <w:t>3.1. Mesures garantissant la proportionnalité et la nécessité du traitement</w:t>
            </w:r>
            <w:r>
              <w:rPr>
                <w:rStyle w:val="Sautdindex"/>
                <w:lang w:eastAsia="fr-FR"/>
              </w:rPr>
              <w:tab/>
              <w:t>11</w:t>
            </w:r>
          </w:hyperlink>
        </w:p>
        <w:p>
          <w:pPr>
            <w:pStyle w:val="Tabledesmatiresniveau3"/>
            <w:tabs>
              <w:tab w:val="clear" w:pos="720"/>
              <w:tab w:val="right" w:pos="9912" w:leader="dot"/>
            </w:tabs>
            <w:rPr/>
          </w:pPr>
          <w:hyperlink w:anchor="__RefHeading___Toc134540978">
            <w:r>
              <w:rPr>
                <w:webHidden/>
                <w:rStyle w:val="Sautdindex"/>
                <w:rFonts w:cs="Calibri Light"/>
                <w:lang w:eastAsia="fr-FR"/>
              </w:rPr>
              <w:t>3.1.1. Finalités</w:t>
            </w:r>
            <w:r>
              <w:rPr>
                <w:rStyle w:val="Sautdindex"/>
                <w:lang w:eastAsia="fr-FR"/>
              </w:rPr>
              <w:tab/>
              <w:t>11</w:t>
            </w:r>
          </w:hyperlink>
        </w:p>
        <w:p>
          <w:pPr>
            <w:pStyle w:val="Tabledesmatiresniveau3"/>
            <w:tabs>
              <w:tab w:val="clear" w:pos="720"/>
              <w:tab w:val="right" w:pos="9912" w:leader="dot"/>
            </w:tabs>
            <w:rPr/>
          </w:pPr>
          <w:hyperlink w:anchor="__RefHeading___Toc134540979">
            <w:r>
              <w:rPr>
                <w:webHidden/>
                <w:rStyle w:val="Sautdindex"/>
                <w:rFonts w:cs="Calibri Light"/>
                <w:lang w:eastAsia="fr-FR"/>
              </w:rPr>
              <w:t>3.1.2. Fondement juridique et base légale</w:t>
            </w:r>
            <w:r>
              <w:rPr>
                <w:rStyle w:val="Sautdindex"/>
                <w:lang w:eastAsia="fr-FR"/>
              </w:rPr>
              <w:tab/>
              <w:t>11</w:t>
            </w:r>
          </w:hyperlink>
        </w:p>
        <w:p>
          <w:pPr>
            <w:pStyle w:val="Tabledesmatiresniveau3"/>
            <w:tabs>
              <w:tab w:val="clear" w:pos="720"/>
              <w:tab w:val="right" w:pos="9912" w:leader="dot"/>
            </w:tabs>
            <w:rPr/>
          </w:pPr>
          <w:hyperlink w:anchor="__RefHeading___Toc134540980">
            <w:r>
              <w:rPr>
                <w:webHidden/>
                <w:rStyle w:val="Sautdindex"/>
                <w:rFonts w:cs="Calibri Light"/>
                <w:lang w:eastAsia="fr-FR"/>
              </w:rPr>
              <w:t>3.1.3. Minimisation des données</w:t>
            </w:r>
            <w:r>
              <w:rPr>
                <w:rStyle w:val="Sautdindex"/>
                <w:lang w:eastAsia="fr-FR"/>
              </w:rPr>
              <w:tab/>
              <w:t>11</w:t>
            </w:r>
          </w:hyperlink>
        </w:p>
        <w:p>
          <w:pPr>
            <w:pStyle w:val="Tabledesmatiresniveau3"/>
            <w:tabs>
              <w:tab w:val="clear" w:pos="720"/>
              <w:tab w:val="right" w:pos="9912" w:leader="dot"/>
            </w:tabs>
            <w:rPr/>
          </w:pPr>
          <w:hyperlink w:anchor="__RefHeading___Toc134540981">
            <w:r>
              <w:rPr>
                <w:webHidden/>
                <w:rStyle w:val="Sautdindex"/>
                <w:rFonts w:cs="Calibri Light"/>
                <w:lang w:eastAsia="fr-FR"/>
              </w:rPr>
              <w:t>3.1.4. Qualité des données</w:t>
            </w:r>
            <w:r>
              <w:rPr>
                <w:rStyle w:val="Sautdindex"/>
                <w:lang w:eastAsia="fr-FR"/>
              </w:rPr>
              <w:tab/>
              <w:t>12</w:t>
            </w:r>
          </w:hyperlink>
        </w:p>
        <w:p>
          <w:pPr>
            <w:pStyle w:val="Tabledesmatiresniveau3"/>
            <w:tabs>
              <w:tab w:val="clear" w:pos="720"/>
              <w:tab w:val="right" w:pos="9912" w:leader="dot"/>
            </w:tabs>
            <w:rPr/>
          </w:pPr>
          <w:hyperlink w:anchor="__RefHeading___Toc134540982">
            <w:r>
              <w:rPr>
                <w:webHidden/>
                <w:rStyle w:val="Sautdindex"/>
                <w:rFonts w:cs="Calibri Light"/>
                <w:lang w:eastAsia="fr-FR"/>
              </w:rPr>
              <w:t>3.1.5. Durées de conservation</w:t>
            </w:r>
            <w:r>
              <w:rPr>
                <w:rStyle w:val="Sautdindex"/>
                <w:lang w:eastAsia="fr-FR"/>
              </w:rPr>
              <w:tab/>
              <w:t>12</w:t>
            </w:r>
          </w:hyperlink>
        </w:p>
        <w:p>
          <w:pPr>
            <w:pStyle w:val="Tabledesmatiresniveau3"/>
            <w:tabs>
              <w:tab w:val="clear" w:pos="720"/>
              <w:tab w:val="right" w:pos="9912" w:leader="dot"/>
            </w:tabs>
            <w:rPr/>
          </w:pPr>
          <w:hyperlink w:anchor="__RefHeading___Toc134540983">
            <w:r>
              <w:rPr>
                <w:webHidden/>
                <w:rStyle w:val="Sautdindex"/>
                <w:rFonts w:cs="Calibri Light"/>
                <w:lang w:eastAsia="fr-FR"/>
              </w:rPr>
              <w:t>3.1.6. Evaluation des mesures</w:t>
            </w:r>
            <w:r>
              <w:rPr>
                <w:rStyle w:val="Sautdindex"/>
                <w:lang w:eastAsia="fr-FR"/>
              </w:rPr>
              <w:tab/>
              <w:t>13</w:t>
            </w:r>
          </w:hyperlink>
        </w:p>
        <w:p>
          <w:pPr>
            <w:pStyle w:val="Tabledesmatiresniveau2"/>
            <w:tabs>
              <w:tab w:val="clear" w:pos="720"/>
              <w:tab w:val="right" w:pos="9912" w:leader="dot"/>
            </w:tabs>
            <w:rPr/>
          </w:pPr>
          <w:hyperlink w:anchor="__RefHeading___Toc134540984">
            <w:r>
              <w:rPr>
                <w:webHidden/>
                <w:rStyle w:val="Sautdindex"/>
                <w:lang w:eastAsia="fr-FR"/>
              </w:rPr>
              <w:t>3.2. Évaluation des mesures protectrices des droits des personnes concernées</w:t>
              <w:tab/>
              <w:t>13</w:t>
            </w:r>
          </w:hyperlink>
        </w:p>
        <w:p>
          <w:pPr>
            <w:pStyle w:val="Tabledesmatiresniveau3"/>
            <w:tabs>
              <w:tab w:val="clear" w:pos="720"/>
              <w:tab w:val="right" w:pos="9912" w:leader="dot"/>
            </w:tabs>
            <w:rPr/>
          </w:pPr>
          <w:hyperlink w:anchor="__RefHeading___Toc134540985">
            <w:r>
              <w:rPr>
                <w:webHidden/>
                <w:rStyle w:val="Sautdindex"/>
                <w:rFonts w:cs="Arial"/>
                <w:lang w:eastAsia="fr-FR"/>
              </w:rPr>
              <w:t>3.2.1. Mesures pour l’information des personnes</w:t>
            </w:r>
            <w:r>
              <w:rPr>
                <w:rStyle w:val="Sautdindex"/>
                <w:lang w:eastAsia="fr-FR"/>
              </w:rPr>
              <w:tab/>
              <w:t>13</w:t>
            </w:r>
          </w:hyperlink>
        </w:p>
        <w:p>
          <w:pPr>
            <w:pStyle w:val="Tabledesmatiresniveau3"/>
            <w:tabs>
              <w:tab w:val="clear" w:pos="720"/>
              <w:tab w:val="right" w:pos="9912" w:leader="dot"/>
            </w:tabs>
            <w:rPr/>
          </w:pPr>
          <w:hyperlink w:anchor="__RefHeading___Toc134540986">
            <w:r>
              <w:rPr>
                <w:webHidden/>
                <w:rStyle w:val="Sautdindex"/>
                <w:rFonts w:cs="Calibri Light"/>
                <w:lang w:eastAsia="fr-FR"/>
              </w:rPr>
              <w:t>3.2.2 Mesures pour le recueil du consentement</w:t>
            </w:r>
            <w:r>
              <w:rPr>
                <w:rStyle w:val="Sautdindex"/>
                <w:lang w:eastAsia="fr-FR"/>
              </w:rPr>
              <w:tab/>
              <w:t>14</w:t>
            </w:r>
          </w:hyperlink>
        </w:p>
        <w:p>
          <w:pPr>
            <w:pStyle w:val="Tabledesmatiresniveau3"/>
            <w:tabs>
              <w:tab w:val="clear" w:pos="720"/>
              <w:tab w:val="right" w:pos="9912" w:leader="dot"/>
            </w:tabs>
            <w:rPr/>
          </w:pPr>
          <w:hyperlink w:anchor="__RefHeading___Toc134540987">
            <w:r>
              <w:rPr>
                <w:webHidden/>
                <w:rStyle w:val="Sautdindex"/>
                <w:rFonts w:cs="Calibri Light"/>
                <w:lang w:eastAsia="fr-FR"/>
              </w:rPr>
              <w:t>3.2.3. Mesures pour les droits d’accès et à la portabilité</w:t>
            </w:r>
            <w:r>
              <w:rPr>
                <w:rStyle w:val="Sautdindex"/>
                <w:lang w:eastAsia="fr-FR"/>
              </w:rPr>
              <w:tab/>
              <w:t>14</w:t>
            </w:r>
          </w:hyperlink>
        </w:p>
        <w:p>
          <w:pPr>
            <w:pStyle w:val="Tabledesmatiresniveau3"/>
            <w:tabs>
              <w:tab w:val="clear" w:pos="720"/>
              <w:tab w:val="right" w:pos="9912" w:leader="dot"/>
            </w:tabs>
            <w:rPr/>
          </w:pPr>
          <w:hyperlink w:anchor="__RefHeading___Toc134540988">
            <w:r>
              <w:rPr>
                <w:webHidden/>
                <w:rStyle w:val="Sautdindex"/>
                <w:rFonts w:cs="Arial"/>
                <w:lang w:eastAsia="fr-FR"/>
              </w:rPr>
              <w:t>3.2.4. Mesures pour les droits de rectification et d’effacement</w:t>
            </w:r>
            <w:r>
              <w:rPr>
                <w:rStyle w:val="Sautdindex"/>
                <w:lang w:eastAsia="fr-FR"/>
              </w:rPr>
              <w:tab/>
              <w:t>14</w:t>
            </w:r>
          </w:hyperlink>
        </w:p>
        <w:p>
          <w:pPr>
            <w:pStyle w:val="Tabledesmatiresniveau3"/>
            <w:tabs>
              <w:tab w:val="clear" w:pos="720"/>
              <w:tab w:val="right" w:pos="9912" w:leader="dot"/>
            </w:tabs>
            <w:rPr/>
          </w:pPr>
          <w:hyperlink w:anchor="__RefHeading___Toc134540989">
            <w:r>
              <w:rPr>
                <w:webHidden/>
                <w:rStyle w:val="Sautdindex"/>
                <w:rFonts w:cs="Arial"/>
                <w:lang w:eastAsia="fr-FR"/>
              </w:rPr>
              <w:t>3.2.5. Mesures pour les droits à la limitation du traitement et d’opposition</w:t>
            </w:r>
            <w:r>
              <w:rPr>
                <w:rStyle w:val="Sautdindex"/>
                <w:lang w:eastAsia="fr-FR"/>
              </w:rPr>
              <w:tab/>
              <w:t>15</w:t>
            </w:r>
          </w:hyperlink>
        </w:p>
        <w:p>
          <w:pPr>
            <w:pStyle w:val="Tabledesmatiresniveau3"/>
            <w:tabs>
              <w:tab w:val="clear" w:pos="720"/>
              <w:tab w:val="right" w:pos="9912" w:leader="dot"/>
            </w:tabs>
            <w:rPr/>
          </w:pPr>
          <w:hyperlink w:anchor="__RefHeading___Toc134540990">
            <w:r>
              <w:rPr>
                <w:webHidden/>
                <w:rStyle w:val="Sautdindex"/>
                <w:rFonts w:cs="Calibri Light"/>
                <w:lang w:eastAsia="fr-FR"/>
              </w:rPr>
              <w:t>3.2.6. Mesures pour la sous-traitance</w:t>
            </w:r>
            <w:r>
              <w:rPr>
                <w:rStyle w:val="Sautdindex"/>
                <w:lang w:eastAsia="fr-FR"/>
              </w:rPr>
              <w:tab/>
              <w:t>15</w:t>
            </w:r>
          </w:hyperlink>
        </w:p>
        <w:p>
          <w:pPr>
            <w:pStyle w:val="Tabledesmatiresniveau3"/>
            <w:tabs>
              <w:tab w:val="clear" w:pos="720"/>
              <w:tab w:val="right" w:pos="9912" w:leader="dot"/>
            </w:tabs>
            <w:rPr/>
          </w:pPr>
          <w:hyperlink w:anchor="__RefHeading___Toc134540991">
            <w:r>
              <w:rPr>
                <w:webHidden/>
                <w:rStyle w:val="Sautdindex"/>
                <w:rFonts w:cs="Calibri Light"/>
                <w:lang w:eastAsia="fr-FR"/>
              </w:rPr>
              <w:t>3.2.7. Evaluation des mesures</w:t>
            </w:r>
            <w:r>
              <w:rPr>
                <w:rStyle w:val="Sautdindex"/>
                <w:lang w:eastAsia="fr-FR"/>
              </w:rPr>
              <w:tab/>
              <w:t>15</w:t>
            </w:r>
          </w:hyperlink>
        </w:p>
        <w:p>
          <w:pPr>
            <w:pStyle w:val="Tabledesmatiresniveau1"/>
            <w:tabs>
              <w:tab w:val="clear" w:pos="720"/>
              <w:tab w:val="right" w:pos="9912" w:leader="dot"/>
            </w:tabs>
            <w:rPr/>
          </w:pPr>
          <w:hyperlink w:anchor="__RefHeading___Toc134540992">
            <w:r>
              <w:rPr>
                <w:webHidden/>
                <w:rStyle w:val="Sautdindex"/>
                <w:lang w:eastAsia="fr-FR"/>
              </w:rPr>
              <w:t>4. Etude des risques liés à la sécurité des données</w:t>
              <w:tab/>
              <w:t>16</w:t>
            </w:r>
          </w:hyperlink>
        </w:p>
        <w:p>
          <w:pPr>
            <w:pStyle w:val="Tabledesmatiresniveau2"/>
            <w:tabs>
              <w:tab w:val="clear" w:pos="720"/>
              <w:tab w:val="right" w:pos="9912" w:leader="dot"/>
            </w:tabs>
            <w:rPr/>
          </w:pPr>
          <w:hyperlink w:anchor="__RefHeading___Toc134540993">
            <w:r>
              <w:rPr>
                <w:webHidden/>
                <w:rStyle w:val="Sautdindex"/>
                <w:lang w:eastAsia="fr-FR"/>
              </w:rPr>
              <w:t>4.1. Évaluation des mesures</w:t>
              <w:tab/>
              <w:t>16</w:t>
            </w:r>
          </w:hyperlink>
        </w:p>
        <w:p>
          <w:pPr>
            <w:pStyle w:val="Tabledesmatiresniveau3"/>
            <w:tabs>
              <w:tab w:val="clear" w:pos="720"/>
              <w:tab w:val="right" w:pos="9912" w:leader="dot"/>
            </w:tabs>
            <w:rPr/>
          </w:pPr>
          <w:hyperlink w:anchor="__RefHeading___Toc134540994">
            <w:r>
              <w:rPr>
                <w:webHidden/>
                <w:rStyle w:val="Sautdindex"/>
                <w:rFonts w:cs="Arial"/>
                <w:lang w:eastAsia="fr-FR"/>
              </w:rPr>
              <w:t>4.1.1. Mesures générales de sécurité</w:t>
            </w:r>
            <w:r>
              <w:rPr>
                <w:rStyle w:val="Sautdindex"/>
                <w:lang w:eastAsia="fr-FR"/>
              </w:rPr>
              <w:tab/>
              <w:t>16</w:t>
            </w:r>
          </w:hyperlink>
        </w:p>
        <w:p>
          <w:pPr>
            <w:pStyle w:val="Tabledesmatiresniveau3"/>
            <w:tabs>
              <w:tab w:val="clear" w:pos="720"/>
              <w:tab w:val="right" w:pos="9912" w:leader="dot"/>
            </w:tabs>
            <w:rPr/>
          </w:pPr>
          <w:hyperlink w:anchor="__RefHeading___Toc134540995">
            <w:r>
              <w:rPr>
                <w:webHidden/>
                <w:rStyle w:val="Sautdindex"/>
                <w:rFonts w:cs="Calibri Light"/>
                <w:lang w:eastAsia="fr-FR"/>
              </w:rPr>
              <w:t>4.1.2. Mesures organisationnelles (gouvernance)</w:t>
            </w:r>
            <w:r>
              <w:rPr>
                <w:rStyle w:val="Sautdindex"/>
                <w:lang w:eastAsia="fr-FR"/>
              </w:rPr>
              <w:tab/>
              <w:t>18</w:t>
            </w:r>
          </w:hyperlink>
        </w:p>
        <w:p>
          <w:pPr>
            <w:pStyle w:val="Tabledesmatiresniveau2"/>
            <w:tabs>
              <w:tab w:val="clear" w:pos="720"/>
              <w:tab w:val="right" w:pos="9912" w:leader="dot"/>
            </w:tabs>
            <w:rPr/>
          </w:pPr>
          <w:hyperlink w:anchor="__RefHeading___Toc134540996">
            <w:r>
              <w:rPr>
                <w:webHidden/>
                <w:rStyle w:val="Sautdindex"/>
                <w:rFonts w:cs="Calibri Light"/>
                <w:lang w:eastAsia="fr-FR"/>
              </w:rPr>
              <w:t>4.2. Appréciation des risques : les atteintes potentielles aux droits et libertés des personnes physiques</w:t>
            </w:r>
            <w:r>
              <w:rPr>
                <w:rStyle w:val="Sautdindex"/>
                <w:lang w:eastAsia="fr-FR"/>
              </w:rPr>
              <w:tab/>
              <w:t>20</w:t>
            </w:r>
          </w:hyperlink>
        </w:p>
        <w:p>
          <w:pPr>
            <w:pStyle w:val="Tabledesmatiresniveau3"/>
            <w:tabs>
              <w:tab w:val="clear" w:pos="720"/>
              <w:tab w:val="right" w:pos="9912" w:leader="dot"/>
            </w:tabs>
            <w:rPr/>
          </w:pPr>
          <w:hyperlink w:anchor="__RefHeading___Toc134540997">
            <w:r>
              <w:rPr>
                <w:webHidden/>
                <w:rStyle w:val="Sautdindex"/>
                <w:rFonts w:cs="Calibri Light"/>
                <w:lang w:eastAsia="fr-FR"/>
              </w:rPr>
              <w:t>4.2.1. Analyse et estimation des risques</w:t>
            </w:r>
            <w:r>
              <w:rPr>
                <w:rStyle w:val="Sautdindex"/>
                <w:lang w:eastAsia="fr-FR"/>
              </w:rPr>
              <w:tab/>
              <w:t>20</w:t>
            </w:r>
          </w:hyperlink>
        </w:p>
        <w:p>
          <w:pPr>
            <w:pStyle w:val="Tabledesmatiresniveau1"/>
            <w:tabs>
              <w:tab w:val="clear" w:pos="720"/>
              <w:tab w:val="right" w:pos="9912" w:leader="dot"/>
            </w:tabs>
            <w:rPr/>
          </w:pPr>
          <w:hyperlink w:anchor="__RefHeading___Toc134541000">
            <w:r>
              <w:rPr>
                <w:webHidden/>
                <w:rStyle w:val="Sautdindex"/>
                <w:rFonts w:cs="Calibri Light" w:ascii="Calibri Light" w:hAnsi="Calibri Light"/>
                <w:lang w:eastAsia="fr-FR"/>
              </w:rPr>
              <w:t>5. Validation de l’analyse d’impact</w:t>
            </w:r>
            <w:r>
              <w:rPr>
                <w:rStyle w:val="Sautdindex"/>
                <w:lang w:eastAsia="fr-FR"/>
              </w:rPr>
              <w:tab/>
              <w:t>23</w:t>
            </w:r>
          </w:hyperlink>
        </w:p>
        <w:p>
          <w:pPr>
            <w:pStyle w:val="Tabledesmatiresniveau2"/>
            <w:tabs>
              <w:tab w:val="clear" w:pos="720"/>
              <w:tab w:val="right" w:pos="9912" w:leader="dot"/>
            </w:tabs>
            <w:rPr/>
          </w:pPr>
          <w:hyperlink w:anchor="__RefHeading___Toc134541001">
            <w:r>
              <w:rPr>
                <w:webHidden/>
                <w:rStyle w:val="Sautdindex"/>
                <w:rFonts w:cs="Calibri Light"/>
                <w:lang w:eastAsia="fr-FR"/>
              </w:rPr>
              <w:t>5.1. Eléments utiles à la validation</w:t>
            </w:r>
            <w:r>
              <w:rPr>
                <w:rStyle w:val="Sautdindex"/>
                <w:lang w:eastAsia="fr-FR"/>
              </w:rPr>
              <w:tab/>
              <w:t>23</w:t>
            </w:r>
          </w:hyperlink>
        </w:p>
        <w:p>
          <w:pPr>
            <w:pStyle w:val="Tabledesmatiresniveau3"/>
            <w:tabs>
              <w:tab w:val="clear" w:pos="720"/>
              <w:tab w:val="right" w:pos="9912" w:leader="dot"/>
            </w:tabs>
            <w:rPr/>
          </w:pPr>
          <w:hyperlink w:anchor="__RefHeading___Toc134541002">
            <w:r>
              <w:rPr>
                <w:webHidden/>
                <w:rStyle w:val="Sautdindex"/>
                <w:rFonts w:cs="Calibri Light"/>
                <w:lang w:eastAsia="fr-FR"/>
              </w:rPr>
              <w:t>5.1.1. Synthèse relative à la conformité au RGPD</w:t>
            </w:r>
            <w:r>
              <w:rPr>
                <w:rStyle w:val="Sautdindex"/>
                <w:lang w:eastAsia="fr-FR"/>
              </w:rPr>
              <w:tab/>
              <w:t>23</w:t>
            </w:r>
          </w:hyperlink>
        </w:p>
        <w:p>
          <w:pPr>
            <w:pStyle w:val="Tabledesmatiresniveau3"/>
            <w:tabs>
              <w:tab w:val="clear" w:pos="720"/>
              <w:tab w:val="right" w:pos="9912" w:leader="dot"/>
            </w:tabs>
            <w:rPr/>
          </w:pPr>
          <w:hyperlink w:anchor="__RefHeading___Toc134541003">
            <w:r>
              <w:rPr>
                <w:webHidden/>
                <w:rStyle w:val="Sautdindex"/>
                <w:rFonts w:cs="Calibri Light"/>
                <w:lang w:eastAsia="fr-FR"/>
              </w:rPr>
              <w:t>5.1.2. Synthèse relative à la conformité aux bonnes pratiques des mesures contribuant à traiter les risques liés à la sécurité des données</w:t>
            </w:r>
            <w:r>
              <w:rPr>
                <w:rStyle w:val="Sautdindex"/>
                <w:lang w:eastAsia="fr-FR"/>
              </w:rPr>
              <w:tab/>
              <w:t>23</w:t>
            </w:r>
          </w:hyperlink>
        </w:p>
        <w:p>
          <w:pPr>
            <w:pStyle w:val="Tabledesmatiresniveau3"/>
            <w:tabs>
              <w:tab w:val="clear" w:pos="720"/>
              <w:tab w:val="right" w:pos="9912" w:leader="dot"/>
            </w:tabs>
            <w:rPr/>
          </w:pPr>
          <w:hyperlink w:anchor="__RefHeading___Toc134541004">
            <w:r>
              <w:rPr>
                <w:webHidden/>
                <w:rStyle w:val="Sautdindex"/>
                <w:rFonts w:cs="Calibri Light"/>
                <w:lang w:eastAsia="fr-FR"/>
              </w:rPr>
              <w:t>5.1.3. Cartographie des risques liés à la sécurité des données</w:t>
            </w:r>
            <w:r>
              <w:rPr>
                <w:rStyle w:val="Sautdindex"/>
                <w:lang w:eastAsia="fr-FR"/>
              </w:rPr>
              <w:tab/>
              <w:t>24</w:t>
            </w:r>
          </w:hyperlink>
        </w:p>
        <w:p>
          <w:pPr>
            <w:pStyle w:val="Tabledesmatiresniveau3"/>
            <w:tabs>
              <w:tab w:val="clear" w:pos="720"/>
              <w:tab w:val="right" w:pos="9912" w:leader="dot"/>
            </w:tabs>
            <w:rPr/>
          </w:pPr>
          <w:hyperlink w:anchor="__RefHeading___Toc134541016">
            <w:r>
              <w:rPr>
                <w:webHidden/>
                <w:rStyle w:val="Sautdindex"/>
                <w:rFonts w:cs="Calibri Light"/>
                <w:highlight w:val="yellow"/>
                <w:lang w:eastAsia="fr-FR"/>
              </w:rPr>
              <w:t>5.1.3. Plan d’actions (si mesures correctives prévues) :</w:t>
            </w:r>
            <w:r>
              <w:rPr>
                <w:rStyle w:val="Sautdindex"/>
                <w:lang w:eastAsia="fr-FR"/>
              </w:rPr>
              <w:tab/>
              <w:t>27</w:t>
            </w:r>
          </w:hyperlink>
        </w:p>
        <w:p>
          <w:pPr>
            <w:pStyle w:val="Tabledesmatiresniveau2"/>
            <w:tabs>
              <w:tab w:val="clear" w:pos="720"/>
              <w:tab w:val="right" w:pos="9912" w:leader="dot"/>
            </w:tabs>
            <w:rPr/>
          </w:pPr>
          <w:hyperlink w:anchor="__RefHeading___Toc134541017">
            <w:r>
              <w:rPr>
                <w:webHidden/>
                <w:rStyle w:val="Sautdindex"/>
                <w:rFonts w:cs="Calibri Light"/>
                <w:lang w:eastAsia="fr-FR"/>
              </w:rPr>
              <w:t>5.2. Validation formelle</w:t>
            </w:r>
            <w:r>
              <w:rPr>
                <w:rStyle w:val="Sautdindex"/>
                <w:lang w:eastAsia="fr-FR"/>
              </w:rPr>
              <w:tab/>
              <w:t>27</w:t>
            </w:r>
          </w:hyperlink>
        </w:p>
        <w:p>
          <w:pPr>
            <w:pStyle w:val="Tabledesmatiresniveau1"/>
            <w:tabs>
              <w:tab w:val="clear" w:pos="720"/>
              <w:tab w:val="right" w:pos="9912" w:leader="dot"/>
            </w:tabs>
            <w:rPr/>
          </w:pPr>
          <w:hyperlink w:anchor="__RefHeading___Toc134541018">
            <w:r>
              <w:rPr>
                <w:webHidden/>
                <w:rStyle w:val="Sautdindex"/>
                <w:rFonts w:cs="Calibri Light" w:ascii="Calibri Light" w:hAnsi="Calibri Light"/>
                <w:lang w:eastAsia="fr-FR"/>
              </w:rPr>
              <w:t>6. Annexes</w:t>
            </w:r>
            <w:r>
              <w:rPr>
                <w:rStyle w:val="Sautdindex"/>
                <w:lang w:eastAsia="fr-FR"/>
              </w:rPr>
              <w:tab/>
              <w:t>28</w:t>
            </w:r>
          </w:hyperlink>
          <w:r>
            <w:rPr>
              <w:rStyle w:val="Sautdindex"/>
              <w:lang w:eastAsia="fr-FR"/>
            </w:rPr>
            <w:fldChar w:fldCharType="end"/>
          </w:r>
        </w:p>
      </w:sdtContent>
    </w:sdt>
    <w:p>
      <w:pPr>
        <w:pStyle w:val="Normal"/>
        <w:rPr>
          <w:b/>
          <w:bCs/>
          <w:lang w:eastAsia="fr-FR"/>
        </w:rPr>
      </w:pPr>
      <w:r>
        <w:rPr>
          <w:b/>
          <w:bCs/>
          <w:lang w:eastAsia="fr-FR"/>
        </w:rPr>
      </w:r>
    </w:p>
    <w:p>
      <w:pPr>
        <w:pStyle w:val="Corpsdetexte"/>
        <w:rPr>
          <w:b/>
          <w:bCs/>
          <w:lang w:val="fr-FR" w:eastAsia="fr-FR"/>
        </w:rPr>
      </w:pPr>
      <w:r>
        <w:rPr>
          <w:b/>
          <w:bCs/>
          <w:lang w:val="fr-FR" w:eastAsia="fr-FR"/>
        </w:rPr>
      </w:r>
    </w:p>
    <w:p>
      <w:pPr>
        <w:pStyle w:val="Corpsdetexte"/>
        <w:rPr>
          <w:b/>
        </w:rPr>
      </w:pPr>
      <w:r>
        <w:rPr>
          <w:b/>
        </w:rPr>
      </w:r>
      <w:r>
        <w:br w:type="page"/>
      </w:r>
    </w:p>
    <w:p>
      <w:pPr>
        <w:pStyle w:val="Titre1"/>
        <w:numPr>
          <w:ilvl w:val="0"/>
          <w:numId w:val="1"/>
        </w:numPr>
        <w:rPr/>
      </w:pPr>
      <w:bookmarkStart w:id="1" w:name="__RefHeading___Toc134540967"/>
      <w:bookmarkEnd w:id="1"/>
      <w:r>
        <w:rPr/>
        <w:t>1. Présentation générale</w:t>
      </w:r>
    </w:p>
    <w:p>
      <w:pPr>
        <w:pStyle w:val="Normal"/>
        <w:spacing w:lineRule="auto" w:line="240" w:before="0" w:after="0"/>
        <w:rPr>
          <w:b/>
          <w:sz w:val="20"/>
          <w:szCs w:val="20"/>
        </w:rPr>
      </w:pPr>
      <w:r>
        <w:rPr>
          <w:b/>
          <w:sz w:val="20"/>
          <w:szCs w:val="20"/>
        </w:rPr>
      </w:r>
    </w:p>
    <w:p>
      <w:pPr>
        <w:pStyle w:val="Normal"/>
        <w:keepLines/>
        <w:spacing w:lineRule="auto" w:line="240" w:before="0" w:after="200"/>
        <w:rPr>
          <w:rFonts w:ascii="Calibri Light" w:hAnsi="Calibri Light" w:cs="Calibri Light"/>
        </w:rPr>
      </w:pPr>
      <w:r>
        <w:rPr>
          <w:rFonts w:cs="Calibri Light" w:ascii="Calibri Light" w:hAnsi="Calibri Light"/>
        </w:rPr>
        <w:t xml:space="preserve">Les systèmes de vidéoprotection se définissent comme des systèmes d’une ou plusieurs caméras disposées sur la voie publique ou dans des lieux et établissements ouverts au public et permettant la captation, l’enregistrement et la transmission d’images à des fins énumérées à l’article L. 251-2 ainsi qu’à l’article L. 223-1 du code de la sécurité intérieure. </w:t>
      </w:r>
    </w:p>
    <w:p>
      <w:pPr>
        <w:pStyle w:val="Normal"/>
        <w:keepLines/>
        <w:spacing w:lineRule="auto" w:line="240" w:before="0" w:after="0"/>
        <w:rPr>
          <w:rFonts w:ascii="Calibri Light" w:hAnsi="Calibri Light" w:cs="Calibri Light"/>
        </w:rPr>
      </w:pPr>
      <w:r>
        <w:rPr>
          <w:rFonts w:cs="Calibri Light" w:ascii="Calibri Light" w:hAnsi="Calibri Light"/>
        </w:rPr>
        <w:t xml:space="preserve">Les personnes morales de droit privées, y compris les commerçants, peuvent mettre en œuvre de tels systèmes pour les finalités suivantes : </w:t>
      </w:r>
    </w:p>
    <w:p>
      <w:pPr>
        <w:pStyle w:val="Normal"/>
        <w:numPr>
          <w:ilvl w:val="0"/>
          <w:numId w:val="8"/>
        </w:numPr>
        <w:spacing w:lineRule="auto" w:line="240" w:before="0" w:after="0"/>
        <w:rPr>
          <w:rFonts w:ascii="Calibri Light" w:hAnsi="Calibri Light" w:cs="Calibri Light"/>
        </w:rPr>
      </w:pPr>
      <w:r>
        <w:rPr>
          <w:rFonts w:cs="Calibri Light" w:ascii="Calibri Light" w:hAnsi="Calibri Light"/>
        </w:rPr>
        <w:t>La protection des abords immédiats de leurs bâtiments et installations dans les lieux susceptibles d’être exposés à des actes de terrorisme ;</w:t>
      </w:r>
    </w:p>
    <w:p>
      <w:pPr>
        <w:pStyle w:val="Normal"/>
        <w:numPr>
          <w:ilvl w:val="0"/>
          <w:numId w:val="8"/>
        </w:numPr>
        <w:spacing w:lineRule="auto" w:line="240" w:before="0" w:after="0"/>
        <w:rPr>
          <w:rFonts w:ascii="Calibri Light" w:hAnsi="Calibri Light" w:cs="Calibri Light"/>
        </w:rPr>
      </w:pPr>
      <w:r>
        <w:rPr>
          <w:rFonts w:cs="Calibri Light" w:ascii="Calibri Light" w:hAnsi="Calibri Light"/>
        </w:rPr>
        <w:t xml:space="preserve">La sécurité des personnes et des biens dans des lieux et établissements ouverts au public particulièrement exposés à des risques d'agression ou de vol ; </w:t>
      </w:r>
    </w:p>
    <w:p>
      <w:pPr>
        <w:pStyle w:val="Normal"/>
        <w:numPr>
          <w:ilvl w:val="0"/>
          <w:numId w:val="8"/>
        </w:numPr>
        <w:spacing w:lineRule="auto" w:line="240" w:before="0" w:after="0"/>
        <w:rPr/>
      </w:pPr>
      <w:r>
        <w:rPr>
          <w:rFonts w:cs="Calibri Light" w:ascii="Calibri Light" w:hAnsi="Calibri Light"/>
        </w:rPr>
        <w:t>La sécurité des personnes et des biens</w:t>
      </w:r>
      <w:r>
        <w:rPr/>
        <w:t xml:space="preserve"> </w:t>
      </w:r>
      <w:r>
        <w:rPr>
          <w:rFonts w:cs="Calibri Light" w:ascii="Calibri Light" w:hAnsi="Calibri Light"/>
        </w:rPr>
        <w:t>dans les lieux et établissements ouverts au public susceptibles d’être exposés à des actes de terrorisme.</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Par ailleurs, les commerçants uniquement peuvent mettre en œuvre de tels systèmes pour assurer la protection des abords immédiats de leurs bâtiments et des installations dans les lieux particulièrement exposés à des risques d’agression ou de vol. Ces bâtiments et installations sont :</w:t>
      </w:r>
    </w:p>
    <w:p>
      <w:pPr>
        <w:pStyle w:val="Normal"/>
        <w:numPr>
          <w:ilvl w:val="0"/>
          <w:numId w:val="7"/>
        </w:numPr>
        <w:spacing w:lineRule="auto" w:line="240" w:before="0" w:after="0"/>
        <w:rPr>
          <w:rFonts w:ascii="Calibri Light" w:hAnsi="Calibri Light" w:cs="Calibri Light"/>
        </w:rPr>
      </w:pPr>
      <w:r>
        <w:rPr>
          <w:rFonts w:cs="Calibri Light" w:ascii="Calibri Light" w:hAnsi="Calibri Light"/>
        </w:rPr>
        <w:t>les lieux ouverts au public où se déroulent les opérations de vente de biens ou de services ;</w:t>
      </w:r>
    </w:p>
    <w:p>
      <w:pPr>
        <w:pStyle w:val="Normal"/>
        <w:numPr>
          <w:ilvl w:val="0"/>
          <w:numId w:val="7"/>
        </w:numPr>
        <w:spacing w:lineRule="auto" w:line="240" w:before="0" w:after="0"/>
        <w:rPr>
          <w:rFonts w:ascii="Calibri Light" w:hAnsi="Calibri Light" w:cs="Calibri Light"/>
        </w:rPr>
      </w:pPr>
      <w:r>
        <w:rPr>
          <w:rFonts w:cs="Calibri Light" w:ascii="Calibri Light" w:hAnsi="Calibri Light"/>
        </w:rPr>
        <w:t>les lieux où sont entreposés lesdits biens ou marchandises destinés à ces opérations de vente.</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b/>
        </w:rPr>
      </w:pPr>
      <w:r>
        <w:rPr>
          <w:rFonts w:cs="Calibri Light" w:ascii="Calibri Light" w:hAnsi="Calibri Light"/>
          <w:b/>
        </w:rPr>
      </w:r>
    </w:p>
    <w:p>
      <w:pPr>
        <w:pStyle w:val="Normal"/>
        <w:spacing w:lineRule="auto" w:line="240" w:before="0" w:after="0"/>
        <w:rPr>
          <w:rFonts w:ascii="Calibri Light" w:hAnsi="Calibri Light" w:cs="Calibri Light"/>
          <w:b/>
          <w:u w:val="single"/>
        </w:rPr>
      </w:pPr>
      <w:r>
        <w:rPr>
          <w:rFonts w:cs="Calibri Light" w:ascii="Calibri Light" w:hAnsi="Calibri Light"/>
          <w:b/>
          <w:u w:val="single"/>
        </w:rPr>
        <w:t>1.1. Cadre juridique</w:t>
      </w:r>
    </w:p>
    <w:p>
      <w:pPr>
        <w:pStyle w:val="Normal"/>
        <w:spacing w:lineRule="auto" w:line="240" w:before="0" w:after="0"/>
        <w:rPr>
          <w:rFonts w:ascii="Calibri Light" w:hAnsi="Calibri Light" w:cs="Calibri Light"/>
          <w:b/>
          <w:u w:val="single"/>
        </w:rPr>
      </w:pPr>
      <w:r>
        <w:rPr>
          <w:rFonts w:cs="Calibri Light" w:ascii="Calibri Light" w:hAnsi="Calibri Light"/>
          <w:b/>
          <w:u w:val="single"/>
        </w:rPr>
      </w:r>
    </w:p>
    <w:p>
      <w:pPr>
        <w:pStyle w:val="Normal"/>
        <w:spacing w:lineRule="auto" w:line="240" w:before="0" w:after="0"/>
        <w:rPr>
          <w:rFonts w:ascii="Calibri Light" w:hAnsi="Calibri Light" w:cs="Calibri Light"/>
          <w:b/>
          <w:u w:val="single"/>
        </w:rPr>
      </w:pPr>
      <w:r>
        <w:rPr>
          <w:rFonts w:cs="Calibri Light" w:ascii="Calibri Light" w:hAnsi="Calibri Light"/>
          <w:b/>
          <w:u w:val="single"/>
        </w:rPr>
      </w:r>
    </w:p>
    <w:p>
      <w:pPr>
        <w:pStyle w:val="Normal"/>
        <w:spacing w:lineRule="auto" w:line="240" w:before="0" w:after="0"/>
        <w:rPr>
          <w:rFonts w:ascii="Calibri Light" w:hAnsi="Calibri Light" w:cs="Calibri Light"/>
        </w:rPr>
      </w:pPr>
      <w:r>
        <w:rPr>
          <w:rFonts w:cs="Calibri Light" w:ascii="Calibri Light" w:hAnsi="Calibri Light"/>
        </w:rPr>
        <w:t xml:space="preserve">Les systèmes de vidéoprotection sont régis par : </w:t>
      </w:r>
    </w:p>
    <w:p>
      <w:pPr>
        <w:pStyle w:val="Normal"/>
        <w:spacing w:lineRule="auto" w:line="240" w:before="0" w:after="0"/>
        <w:rPr>
          <w:rFonts w:ascii="Calibri Light" w:hAnsi="Calibri Light" w:cs="Calibri Light"/>
        </w:rPr>
      </w:pPr>
      <w:r>
        <w:rPr>
          <w:rFonts w:cs="Calibri Light" w:ascii="Calibri Light" w:hAnsi="Calibri Light"/>
        </w:rPr>
      </w:r>
    </w:p>
    <w:p>
      <w:pPr>
        <w:pStyle w:val="Normal"/>
        <w:numPr>
          <w:ilvl w:val="0"/>
          <w:numId w:val="6"/>
        </w:numPr>
        <w:spacing w:lineRule="auto" w:line="240" w:before="0" w:after="0"/>
        <w:rPr>
          <w:rFonts w:ascii="Calibri Light" w:hAnsi="Calibri Light" w:cs="Calibri Light"/>
        </w:rPr>
      </w:pPr>
      <w:r>
        <w:rPr>
          <w:rFonts w:cs="Calibri Light" w:ascii="Calibri Light" w:hAnsi="Calibri Light"/>
        </w:rPr>
        <w:t>Les dispositions du titre V de livre II du code de la sécurité intérieure (CSI), ainsi que par celles du chapitre III du titre II du même livre en ce qui concerne les systèmes de vidéoprotection mis en œuvre à des fins de prévention d’actes de terrorisme, qui les soumettent à un régime d’autorisation préfectorale ;</w:t>
      </w:r>
    </w:p>
    <w:p>
      <w:pPr>
        <w:pStyle w:val="Normal"/>
        <w:numPr>
          <w:ilvl w:val="0"/>
          <w:numId w:val="6"/>
        </w:numPr>
        <w:spacing w:lineRule="auto" w:line="240" w:before="0" w:after="0"/>
        <w:rPr>
          <w:rFonts w:ascii="Calibri Light" w:hAnsi="Calibri Light" w:cs="Calibri Light"/>
        </w:rPr>
      </w:pPr>
      <w:r>
        <w:rPr>
          <w:rFonts w:cs="Calibri Light" w:ascii="Calibri Light" w:hAnsi="Calibri Light"/>
        </w:rPr>
        <w:t>Les dispositions de la loi n° 78-17 du 6 janvier 1978 relative à l’informatique, aux fichiers et aux libertés, dite loi « Informatique et libertés » et du règlement (UE) 2016/679 du Parlement européen et du Conseil du 27 avril 2016 relatif à la protection des personnes physiques à l'égard du traitement des données à caractère personnel et à la libre circulation de ces données.</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L’installation des systèmes de vidéoprotection est subordonnée à une autorisation préfectorale donnée après avis d’une commission départementale.</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 xml:space="preserve">Le contenu du dossier de demande est fixé par l’article R. 252-3 du CSI. </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r>
        <w:br w:type="page"/>
      </w:r>
    </w:p>
    <w:p>
      <w:pPr>
        <w:pStyle w:val="Titre1"/>
        <w:numPr>
          <w:ilvl w:val="0"/>
          <w:numId w:val="1"/>
        </w:numPr>
        <w:rPr/>
      </w:pPr>
      <w:bookmarkStart w:id="2" w:name="__RefHeading___Toc134540968"/>
      <w:bookmarkEnd w:id="2"/>
      <w:r>
        <w:rPr/>
        <w:t>2. Présentation du traitement des images</w:t>
      </w:r>
    </w:p>
    <w:p>
      <w:pPr>
        <w:pStyle w:val="Normal"/>
        <w:rPr/>
      </w:pPr>
      <w:r>
        <w:rPr/>
      </w:r>
    </w:p>
    <w:p>
      <w:pPr>
        <w:pStyle w:val="Titre2"/>
        <w:numPr>
          <w:ilvl w:val="1"/>
          <w:numId w:val="1"/>
        </w:numPr>
        <w:rPr/>
      </w:pPr>
      <w:bookmarkStart w:id="3" w:name="__RefHeading___Toc134540969"/>
      <w:bookmarkEnd w:id="3"/>
      <w:r>
        <w:rPr/>
        <w:t>2.1 Vue d’ensemble</w:t>
      </w:r>
    </w:p>
    <w:p>
      <w:pPr>
        <w:pStyle w:val="Normal"/>
        <w:rPr>
          <w:rFonts w:ascii="Calibri Light" w:hAnsi="Calibri Light" w:cs="Calibri Light"/>
          <w:color w:val="0D0D0D"/>
        </w:rPr>
      </w:pPr>
      <w:r>
        <w:rPr>
          <w:rFonts w:cs="Calibri Light" w:ascii="Calibri Light" w:hAnsi="Calibri Light"/>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51"/>
        <w:gridCol w:w="566"/>
        <w:gridCol w:w="7514"/>
      </w:tblGrid>
      <w:tr>
        <w:trPr>
          <w:trHeight w:val="312" w:hRule="atLeast"/>
        </w:trPr>
        <w:tc>
          <w:tcPr>
            <w:tcW w:w="1951" w:type="dxa"/>
            <w:vMerge w:val="restart"/>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 w:name="Bookmark"/>
            <w:bookmarkStart w:id="5" w:name="Bookmark"/>
            <w:bookmarkEnd w:id="5"/>
            <w:r/>
            <w:r>
              <w:rPr/>
              <w:fldChar w:fldCharType="end"/>
            </w:r>
            <w:r>
              <w:rPr/>
            </w:r>
            <w:bookmarkStart w:id="6" w:name="__Fieldmark__0_3167131719"/>
            <w:bookmarkEnd w:id="6"/>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protection des abords immédiats de leurs bâtiments et installations dans les lieux susceptibles d’être exposés à des actes de terrorisme</w:t>
            </w:r>
          </w:p>
        </w:tc>
      </w:tr>
      <w:tr>
        <w:trPr>
          <w:trHeight w:val="287" w:hRule="atLeast"/>
        </w:trPr>
        <w:tc>
          <w:tcPr>
            <w:tcW w:w="1951"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7" w:name="Bookmark_Copie_1"/>
            <w:bookmarkStart w:id="8" w:name="Bookmark_Copie_1"/>
            <w:bookmarkEnd w:id="8"/>
            <w:r/>
            <w:r>
              <w:rPr/>
              <w:fldChar w:fldCharType="end"/>
            </w:r>
            <w:r>
              <w:rPr/>
            </w:r>
            <w:bookmarkStart w:id="9" w:name="__Fieldmark__1_3167131719"/>
            <w:bookmarkEnd w:id="9"/>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sécurité des personnes et des biens dans des lieux et établissements ouverts au public particulièrement exposés à des risques d'agression ou de vol</w:t>
            </w:r>
          </w:p>
        </w:tc>
      </w:tr>
      <w:tr>
        <w:trPr>
          <w:trHeight w:val="287" w:hRule="atLeast"/>
        </w:trPr>
        <w:tc>
          <w:tcPr>
            <w:tcW w:w="1951"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0" w:name="Bookmark_Copie_2"/>
            <w:bookmarkStart w:id="11" w:name="Bookmark_Copie_2"/>
            <w:bookmarkEnd w:id="11"/>
            <w:r/>
            <w:r>
              <w:rPr/>
              <w:fldChar w:fldCharType="end"/>
            </w:r>
            <w:r>
              <w:rPr/>
            </w:r>
            <w:bookmarkStart w:id="12" w:name="__Fieldmark__2_3167131719"/>
            <w:bookmarkEnd w:id="12"/>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sécurité des personnes et des biens dans les lieux et établissements ouverts au public susceptibles d’être exposés à des actes de terrorisme</w:t>
            </w:r>
          </w:p>
        </w:tc>
      </w:tr>
      <w:tr>
        <w:trPr>
          <w:trHeight w:val="287" w:hRule="atLeast"/>
        </w:trPr>
        <w:tc>
          <w:tcPr>
            <w:tcW w:w="1951"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3" w:name="Bookmark_Copie_3"/>
            <w:bookmarkStart w:id="14" w:name="Bookmark_Copie_3"/>
            <w:bookmarkEnd w:id="14"/>
            <w:r/>
            <w:r>
              <w:rPr/>
              <w:fldChar w:fldCharType="end"/>
            </w:r>
            <w:r>
              <w:rPr/>
            </w:r>
            <w:bookmarkStart w:id="15" w:name="__Fieldmark__3_3167131719"/>
            <w:bookmarkEnd w:id="15"/>
          </w:p>
        </w:tc>
        <w:tc>
          <w:tcPr>
            <w:tcW w:w="7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protection des abords immédiats des bâtiments et des installations des commerçants dans les lieux particulièrement exposés à des risques d’agression ou de vol.</w:t>
            </w:r>
          </w:p>
        </w:tc>
      </w:tr>
      <w:tr>
        <w:trPr>
          <w:trHeight w:val="416"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Identité et coordonnées du responsable de traitement</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[Dénomination de la personne morale de droit privée + adresses postale et électronique].</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r>
        <w:trPr>
          <w:trHeight w:val="416"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Le cas échéant, identité et coordonnées du Délégué à la protection des données</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[A compléter]</w:t>
            </w:r>
          </w:p>
        </w:tc>
      </w:tr>
      <w:tr>
        <w:trPr>
          <w:trHeight w:val="109"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Régime juridique applicable</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t>Titre II du RGPD</w:t>
            </w:r>
          </w:p>
        </w:tc>
      </w:tr>
      <w:tr>
        <w:trPr>
          <w:trHeight w:val="416"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Enjeux du traitement</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[Description concrète du besoin de recourir à un système de vidéoprotection].</w:t>
            </w:r>
          </w:p>
          <w:p>
            <w:pPr>
              <w:pStyle w:val="Normal"/>
              <w:widowControl w:val="false"/>
              <w:spacing w:lineRule="auto" w:line="240" w:before="0" w:after="0"/>
              <w:rPr/>
            </w:pPr>
            <w:r>
              <w:rPr/>
              <w:t xml:space="preserve">Les systèmes de vidéoprotection permettent aux personnes privées de sécuriser les abords ainsi que l’intérieur de leurs bâtiments et installations. </w:t>
            </w:r>
          </w:p>
          <w:p>
            <w:pPr>
              <w:pStyle w:val="Normal"/>
              <w:widowControl w:val="false"/>
              <w:spacing w:lineRule="auto" w:line="240" w:before="0" w:after="0"/>
              <w:rPr/>
            </w:pPr>
            <w:r>
              <w:rPr/>
            </w:r>
          </w:p>
          <w:p>
            <w:pPr>
              <w:pStyle w:val="Normal"/>
              <w:widowControl w:val="false"/>
              <w:rPr/>
            </w:pPr>
            <w:r>
              <w:rPr/>
              <w:t>En effet, la présence visible de caméras dans les lieux exposés à des risques d’agression ou de vol a un effet dissuasif. De plus, lorsque l’opérateur détecte un événement en direct, il peut en aviser immédiatement les autorités compétentes qui jugent de la suite à donner aux faits observés.</w:t>
            </w:r>
          </w:p>
          <w:p>
            <w:pPr>
              <w:pStyle w:val="Normal"/>
              <w:widowControl w:val="false"/>
              <w:rPr/>
            </w:pPr>
            <w:r>
              <w:rPr/>
              <w:t>Par ailleurs, de manière très circonscrite par la loi, de tels systèmes permettent également aux autorités publiques d’exercer leurs missions de surveillance et d’indentification des auteurs d’infraction. En effet, les services de police peuvent être amenés à solliciter les opérateurs pour l’identification de personnes recherchées ou de véhicules impliqués dans des procédures judiciaires. En temps différé, les services de sécurité consulteront les enregistrements à des fins judiciaires, afin d’obtenir des éléments permettant d’identifier un auteur ou d’orienter une enquête.</w:t>
            </w:r>
          </w:p>
          <w:p>
            <w:pPr>
              <w:pStyle w:val="Normal"/>
              <w:widowControl w:val="false"/>
              <w:spacing w:before="0" w:after="160"/>
              <w:rPr>
                <w:rFonts w:eastAsia="Calibri" w:cs="Calibri"/>
              </w:rPr>
            </w:pPr>
            <w:r>
              <w:rPr>
                <w:rFonts w:eastAsia="Calibri" w:cs="Calibri"/>
              </w:rPr>
              <w:t xml:space="preserve"> </w:t>
            </w:r>
          </w:p>
        </w:tc>
      </w:tr>
      <w:tr>
        <w:trPr>
          <w:trHeight w:val="416"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Nombre de caméras</w:t>
            </w:r>
          </w:p>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[Nombre de caméras]</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r>
        <w:trPr>
          <w:trHeight w:val="113" w:hRule="atLeast"/>
        </w:trPr>
        <w:tc>
          <w:tcPr>
            <w:tcW w:w="19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160"/>
              <w:rPr>
                <w:rFonts w:ascii="Calibri Light" w:hAnsi="Calibri Light" w:cs="Calibri Light"/>
                <w:b/>
                <w:color w:val="FFFFFF"/>
                <w:sz w:val="20"/>
                <w:szCs w:val="20"/>
              </w:rPr>
            </w:pPr>
            <w:r>
              <w:rPr>
                <w:rFonts w:cs="Calibri Light" w:ascii="Calibri Light" w:hAnsi="Calibri Light"/>
                <w:b/>
                <w:color w:val="FFFFFF"/>
                <w:sz w:val="20"/>
                <w:szCs w:val="20"/>
              </w:rPr>
              <w:t>Sous-traitant(s)</w:t>
            </w:r>
          </w:p>
        </w:tc>
        <w:tc>
          <w:tcPr>
            <w:tcW w:w="8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0070C0"/>
                <w:sz w:val="20"/>
                <w:szCs w:val="20"/>
              </w:rPr>
            </w:pPr>
            <w:r>
              <w:rPr>
                <w:rFonts w:cs="Calibri Light" w:ascii="Calibri Light" w:hAnsi="Calibri Light"/>
                <w:b/>
                <w:bCs/>
                <w:color w:val="0070C0"/>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[Dénomination + siège social des sous-traitants + objet du contrat (ex : maintenance/exploitation)]</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bl>
    <w:p>
      <w:pPr>
        <w:pStyle w:val="P-B"/>
        <w:rPr>
          <w:rFonts w:cs="Times New Roman"/>
        </w:rPr>
      </w:pPr>
      <w:r>
        <w:rPr>
          <w:rFonts w:cs="Times New Roman"/>
        </w:rPr>
      </w:r>
      <w:bookmarkStart w:id="16" w:name="_Ref514185551"/>
      <w:bookmarkStart w:id="17" w:name="_Ref514185560"/>
      <w:bookmarkStart w:id="18" w:name="_Ref514185564"/>
      <w:bookmarkStart w:id="19" w:name="_Ref514185551"/>
      <w:bookmarkStart w:id="20" w:name="_Ref514185560"/>
      <w:bookmarkStart w:id="21" w:name="_Ref514185564"/>
      <w:bookmarkEnd w:id="19"/>
      <w:bookmarkEnd w:id="20"/>
      <w:bookmarkEnd w:id="21"/>
    </w:p>
    <w:p>
      <w:pPr>
        <w:pStyle w:val="P-B"/>
        <w:rPr>
          <w:rFonts w:cs="Times New Roman"/>
        </w:rPr>
      </w:pPr>
      <w:r>
        <w:rPr>
          <w:rFonts w:cs="Times New Roman"/>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0031"/>
      </w:tblGrid>
      <w:tr>
        <w:trPr/>
        <w:tc>
          <w:tcPr>
            <w:tcW w:w="1003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Textes applicables au traitement</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Light" w:hAnsi="Calibri Light" w:cs="Calibri Light"/>
                <w:b/>
                <w:bCs/>
                <w:sz w:val="20"/>
                <w:szCs w:val="20"/>
              </w:rPr>
            </w:pPr>
            <w:r>
              <w:rPr>
                <w:rFonts w:cs="Calibri Light" w:ascii="Calibri Light" w:hAnsi="Calibri Light"/>
                <w:b/>
                <w:bCs/>
                <w:sz w:val="20"/>
                <w:szCs w:val="20"/>
              </w:rPr>
              <w:t>Textes législatifs et réglementaires</w:t>
            </w:r>
          </w:p>
        </w:tc>
      </w:tr>
      <w:tr>
        <w:trPr>
          <w:trHeight w:val="53" w:hRule="atLeast"/>
        </w:trPr>
        <w:tc>
          <w:tcPr>
            <w:tcW w:w="10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rPr>
            </w:pPr>
            <w:r>
              <w:rPr>
                <w:rFonts w:cs="Calibri Light" w:ascii="Calibri Light" w:hAnsi="Calibri Light"/>
              </w:rPr>
              <w:t xml:space="preserve">Règlement général relatif à la protection des données </w:t>
            </w:r>
          </w:p>
          <w:p>
            <w:pPr>
              <w:pStyle w:val="Normal"/>
              <w:widowControl w:val="false"/>
              <w:spacing w:before="0" w:after="0"/>
              <w:rPr/>
            </w:pPr>
            <w:r>
              <w:rPr>
                <w:rFonts w:cs="Calibri Light" w:ascii="Calibri Light" w:hAnsi="Calibri Light"/>
              </w:rPr>
              <w:t xml:space="preserve">Code de sécurité intérieure, </w:t>
            </w:r>
            <w:r>
              <w:rPr>
                <w:rFonts w:cs="Calibri Light" w:ascii="Calibri Light" w:hAnsi="Calibri Light"/>
                <w:highlight w:val="yellow"/>
              </w:rPr>
              <w:t>[préciser si : chapitre III du titre II et]</w:t>
            </w:r>
            <w:r>
              <w:rPr>
                <w:rFonts w:cs="Calibri Light" w:ascii="Calibri Light" w:hAnsi="Calibri Light"/>
              </w:rPr>
              <w:t xml:space="preserve"> le titre V de son livre II de ses parties législatives et réglementaires</w:t>
            </w:r>
          </w:p>
          <w:p>
            <w:pPr>
              <w:pStyle w:val="Normal"/>
              <w:widowControl w:val="false"/>
              <w:spacing w:before="0" w:after="0"/>
              <w:rPr>
                <w:rFonts w:ascii="Calibri Light" w:hAnsi="Calibri Light" w:cs="Calibri Light"/>
              </w:rPr>
            </w:pPr>
            <w:r>
              <w:rPr>
                <w:rFonts w:cs="Calibri Light" w:ascii="Calibri Light" w:hAnsi="Calibri Light"/>
              </w:rPr>
              <w:t>Loi informatique et libertés, titre II</w:t>
            </w:r>
          </w:p>
          <w:p>
            <w:pPr>
              <w:pStyle w:val="Normal"/>
              <w:widowControl w:val="false"/>
              <w:spacing w:before="0" w:after="0"/>
              <w:rPr/>
            </w:pPr>
            <w:r>
              <w:rPr>
                <w:rStyle w:val="Annotationreference"/>
                <w:rFonts w:cs="Calibri Light" w:ascii="Calibri Light" w:hAnsi="Calibri Light"/>
                <w:sz w:val="22"/>
                <w:szCs w:val="22"/>
              </w:rPr>
              <w:t>Arrêté définissant les normes techniques prévu à l’article L. 252-4 du code de la sécurité intérieure</w:t>
            </w:r>
          </w:p>
        </w:tc>
      </w:tr>
    </w:tbl>
    <w:p>
      <w:pPr>
        <w:pStyle w:val="Normal"/>
        <w:rPr/>
      </w:pPr>
      <w:r>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255"/>
        <w:gridCol w:w="3601"/>
        <w:gridCol w:w="3056"/>
      </w:tblGrid>
      <w:tr>
        <w:trPr>
          <w:trHeight w:val="684" w:hRule="atLeast"/>
        </w:trPr>
        <w:tc>
          <w:tcPr>
            <w:tcW w:w="3255"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Textes applicables au traitement</w:t>
            </w:r>
          </w:p>
        </w:tc>
        <w:tc>
          <w:tcPr>
            <w:tcW w:w="360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 xml:space="preserve">Conditions d’applicabilité au traitement </w:t>
            </w:r>
          </w:p>
        </w:tc>
        <w:tc>
          <w:tcPr>
            <w:tcW w:w="305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Applicabilité au traitement (oui/non)</w:t>
            </w:r>
          </w:p>
        </w:tc>
      </w:tr>
      <w:tr>
        <w:trPr/>
        <w:tc>
          <w:tcPr>
            <w:tcW w:w="6856" w:type="dxa"/>
            <w:gridSpan w:val="2"/>
            <w:tcBorders>
              <w:top w:val="single" w:sz="8" w:space="0" w:color="5B9BD5"/>
              <w:left w:val="single" w:sz="8" w:space="0" w:color="5B9BD5"/>
              <w:bottom w:val="single" w:sz="8" w:space="0" w:color="5B9BD5"/>
              <w:right w:val="single" w:sz="4" w:space="0" w:color="808080"/>
            </w:tcBorders>
            <w:shd w:color="auto" w:fill="D9D9D9" w:val="clear"/>
            <w:vAlign w:val="center"/>
          </w:tcPr>
          <w:p>
            <w:pPr>
              <w:pStyle w:val="Normal"/>
              <w:widowControl w:val="false"/>
              <w:spacing w:lineRule="auto" w:line="276" w:before="0" w:after="0"/>
              <w:jc w:val="center"/>
              <w:rPr>
                <w:b/>
                <w:bCs/>
                <w:sz w:val="20"/>
                <w:szCs w:val="20"/>
              </w:rPr>
            </w:pPr>
            <w:r>
              <w:rPr>
                <w:b/>
                <w:bCs/>
                <w:sz w:val="20"/>
                <w:szCs w:val="20"/>
              </w:rPr>
              <w:t>Textes législatifs et réglementaires applicables en matière de protection des données</w:t>
            </w:r>
          </w:p>
        </w:tc>
        <w:tc>
          <w:tcPr>
            <w:tcW w:w="3056" w:type="dxa"/>
            <w:tcBorders>
              <w:top w:val="single" w:sz="8" w:space="0" w:color="5B9BD5"/>
              <w:left w:val="single" w:sz="4" w:space="0" w:color="808080"/>
              <w:bottom w:val="single" w:sz="8" w:space="0" w:color="5B9BD5"/>
              <w:right w:val="single" w:sz="8" w:space="0" w:color="5B9BD5"/>
            </w:tcBorders>
            <w:shd w:color="auto" w:fill="D9D9D9" w:val="clear"/>
          </w:tcPr>
          <w:p>
            <w:pPr>
              <w:pStyle w:val="Normal"/>
              <w:widowControl w:val="false"/>
              <w:snapToGrid w:val="false"/>
              <w:spacing w:lineRule="auto" w:line="276" w:before="0" w:after="0"/>
              <w:jc w:val="center"/>
              <w:rPr>
                <w:b/>
                <w:bCs/>
                <w:sz w:val="20"/>
                <w:szCs w:val="20"/>
              </w:rPr>
            </w:pPr>
            <w:r>
              <w:rPr>
                <w:b/>
                <w:bCs/>
                <w:sz w:val="20"/>
                <w:szCs w:val="20"/>
              </w:rPr>
            </w:r>
          </w:p>
        </w:tc>
      </w:tr>
      <w:tr>
        <w:trPr/>
        <w:tc>
          <w:tcPr>
            <w:tcW w:w="325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Dispositions générales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Ces dispositions sont applicables à tout traitement de données à caractère personnel</w:t>
            </w:r>
          </w:p>
        </w:tc>
        <w:tc>
          <w:tcPr>
            <w:tcW w:w="305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r>
      <w:tr>
        <w:trPr>
          <w:trHeight w:val="3067" w:hRule="atLeast"/>
        </w:trPr>
        <w:tc>
          <w:tcPr>
            <w:tcW w:w="3255"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Titre II de la loi du 6 janvier 1978 et règlement (UE) 2016/679 du Parlement européen et du Conseil du 27 avril 2016 relatif à la protection des personnes physiques à l’égard du traitement des données à caractère personnel et à la libre circulation de ces données, et abrogeant la directive 95/46/CE (RGPD)</w:t>
            </w:r>
          </w:p>
        </w:tc>
        <w:tc>
          <w:tcPr>
            <w:tcW w:w="3601"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 xml:space="preserve">Le traitement relève du RGPD </w:t>
            </w:r>
          </w:p>
        </w:tc>
        <w:tc>
          <w:tcPr>
            <w:tcW w:w="3056"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bCs/>
                <w:color w:val="0D0D0D"/>
                <w:sz w:val="20"/>
                <w:szCs w:val="20"/>
              </w:rPr>
            </w:pPr>
            <w:r>
              <w:rPr>
                <w:bCs/>
                <w:color w:val="0D0D0D"/>
                <w:sz w:val="20"/>
                <w:szCs w:val="20"/>
              </w:rPr>
              <w:t xml:space="preserve">Oui </w:t>
            </w:r>
          </w:p>
        </w:tc>
      </w:tr>
    </w:tbl>
    <w:p>
      <w:pPr>
        <w:pStyle w:val="Normal"/>
        <w:rPr/>
      </w:pPr>
      <w:r>
        <w:rPr/>
      </w:r>
    </w:p>
    <w:p>
      <w:pPr>
        <w:pStyle w:val="Normal"/>
        <w:rPr/>
      </w:pPr>
      <w:r>
        <w:rPr/>
      </w:r>
    </w:p>
    <w:p>
      <w:pPr>
        <w:pStyle w:val="Titre2"/>
        <w:numPr>
          <w:ilvl w:val="1"/>
          <w:numId w:val="1"/>
        </w:numPr>
        <w:rPr/>
      </w:pPr>
      <w:bookmarkStart w:id="22" w:name="__RefHeading___Toc134540970"/>
      <w:bookmarkEnd w:id="22"/>
      <w:r>
        <w:rPr/>
        <w:t>2.2. Données, processus et supports</w:t>
      </w:r>
    </w:p>
    <w:p>
      <w:pPr>
        <w:pStyle w:val="Titre3"/>
        <w:numPr>
          <w:ilvl w:val="2"/>
          <w:numId w:val="1"/>
        </w:numPr>
        <w:rPr>
          <w:rFonts w:cs="Arial"/>
          <w:color w:val="0D0D0D"/>
        </w:rPr>
      </w:pPr>
      <w:bookmarkStart w:id="23" w:name="__RefHeading___Toc134540971"/>
      <w:bookmarkEnd w:id="23"/>
      <w:r>
        <w:rPr>
          <w:rFonts w:cs="Arial"/>
          <w:color w:val="0D0D0D"/>
        </w:rPr>
        <w:t>2.1.1 Description des données</w:t>
      </w:r>
    </w:p>
    <w:tbl>
      <w:tblPr>
        <w:tblW w:w="10035"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934"/>
        <w:gridCol w:w="4100"/>
      </w:tblGrid>
      <w:tr>
        <w:trPr>
          <w:trHeight w:val="384" w:hRule="atLeast"/>
        </w:trPr>
        <w:tc>
          <w:tcPr>
            <w:tcW w:w="5934"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bookmarkStart w:id="24" w:name="_Hlk514164232"/>
            <w:bookmarkEnd w:id="24"/>
            <w:r>
              <w:rPr>
                <w:b/>
                <w:bCs/>
                <w:color w:val="FFFFFF"/>
                <w:sz w:val="20"/>
                <w:szCs w:val="20"/>
              </w:rPr>
              <w:t xml:space="preserve">Données </w:t>
            </w:r>
          </w:p>
        </w:tc>
        <w:tc>
          <w:tcPr>
            <w:tcW w:w="410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 xml:space="preserve">Justification </w:t>
            </w:r>
          </w:p>
        </w:tc>
      </w:tr>
      <w:tr>
        <w:trPr>
          <w:trHeight w:val="1779"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 xml:space="preserve">Images captées </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rPr/>
            </w:pPr>
            <w:r>
              <w:rPr>
                <w:rFonts w:eastAsia="Calibri" w:cs="Calibri"/>
                <w:sz w:val="20"/>
                <w:szCs w:val="20"/>
              </w:rPr>
              <w:t xml:space="preserve"> </w:t>
            </w:r>
            <w:r>
              <w:rPr>
                <w:sz w:val="20"/>
                <w:szCs w:val="20"/>
              </w:rPr>
              <w:t xml:space="preserve">La collecte de ces images est nécessaire à la poursuite de l’une des finalités prévues par l’article L. 251-2 du code de la sécurité intérieure  </w:t>
            </w:r>
          </w:p>
        </w:tc>
      </w:tr>
      <w:tr>
        <w:trPr>
          <w:trHeight w:val="958" w:hRule="atLeast"/>
        </w:trPr>
        <w:tc>
          <w:tcPr>
            <w:tcW w:w="5934" w:type="dxa"/>
            <w:tcBorders>
              <w:top w:val="single" w:sz="4" w:space="0" w:color="808080"/>
              <w:left w:val="single" w:sz="4" w:space="0" w:color="0070C0"/>
              <w:bottom w:val="single" w:sz="4" w:space="0" w:color="808080"/>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Jour et plages horaires d’enregistrement</w:t>
            </w:r>
          </w:p>
        </w:tc>
        <w:tc>
          <w:tcPr>
            <w:tcW w:w="4100"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left"/>
              <w:rPr>
                <w:sz w:val="20"/>
                <w:szCs w:val="20"/>
              </w:rPr>
            </w:pPr>
            <w:r>
              <w:rPr>
                <w:sz w:val="20"/>
                <w:szCs w:val="20"/>
              </w:rPr>
              <w:t xml:space="preserve">Besoin de traçabilité sur l’emploi du traitement par le responsable de traitement </w:t>
            </w:r>
          </w:p>
        </w:tc>
      </w:tr>
      <w:tr>
        <w:trPr>
          <w:trHeight w:val="1150"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Lieu où ont été collectées les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sz w:val="20"/>
                <w:szCs w:val="20"/>
              </w:rPr>
            </w:pPr>
            <w:r>
              <w:rPr>
                <w:sz w:val="20"/>
                <w:szCs w:val="20"/>
              </w:rPr>
              <w:t>Besoin de traçabilité sur l’emploi du traitement par le responsable de traitement</w:t>
            </w:r>
          </w:p>
        </w:tc>
      </w:tr>
      <w:tr>
        <w:trPr>
          <w:trHeight w:val="1150"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Identifiant de l’auteur, date, heure et motif de l’opération de collecte, de modification, de consultation, de communication et d’effacement des données à caractère personnel et informations, et, le cas échéant, destinataire des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sz w:val="20"/>
                <w:szCs w:val="20"/>
              </w:rPr>
            </w:pPr>
            <w:r>
              <w:rPr>
                <w:sz w:val="20"/>
                <w:szCs w:val="20"/>
              </w:rPr>
              <w:t>Besoin de traçabilité sur l’emploi du traitement par le responsable de traitement</w:t>
            </w:r>
          </w:p>
        </w:tc>
      </w:tr>
    </w:tbl>
    <w:p>
      <w:pPr>
        <w:pStyle w:val="Titre3"/>
        <w:numPr>
          <w:ilvl w:val="2"/>
          <w:numId w:val="1"/>
        </w:numPr>
        <w:rPr>
          <w:rFonts w:cs="Arial"/>
          <w:color w:val="0D0D0D"/>
        </w:rPr>
      </w:pPr>
      <w:r>
        <w:rPr>
          <w:rFonts w:cs="Arial"/>
          <w:color w:val="0D0D0D"/>
        </w:rPr>
      </w:r>
    </w:p>
    <w:p>
      <w:pPr>
        <w:pStyle w:val="Normal"/>
        <w:spacing w:lineRule="auto" w:line="240" w:before="0" w:after="0"/>
        <w:jc w:val="left"/>
        <w:rPr>
          <w:b/>
          <w:color w:val="0D0D0D"/>
          <w:sz w:val="20"/>
          <w:szCs w:val="20"/>
          <w:lang w:eastAsia="en-US"/>
        </w:rPr>
      </w:pPr>
      <w:r>
        <w:rPr>
          <w:b/>
          <w:color w:val="0D0D0D"/>
          <w:sz w:val="20"/>
          <w:szCs w:val="20"/>
          <w:lang w:eastAsia="en-US"/>
        </w:rPr>
        <w:t xml:space="preserve">Traçabilité : </w:t>
      </w:r>
    </w:p>
    <w:p>
      <w:pPr>
        <w:pStyle w:val="Normal"/>
        <w:spacing w:lineRule="auto" w:line="240" w:before="0" w:after="0"/>
        <w:jc w:val="left"/>
        <w:rPr>
          <w:b/>
          <w:color w:val="0D0D0D"/>
          <w:sz w:val="20"/>
          <w:szCs w:val="20"/>
          <w:lang w:eastAsia="en-US"/>
        </w:rPr>
      </w:pPr>
      <w:r>
        <w:rPr>
          <w:b/>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 xml:space="preserve">Les opérations de collecte, de consultation, de communication et d'effacement des données à caractère personnel et informations, ainsi que les signalements générés par les traitements font l’objet d’un enregistrement. </w:t>
      </w:r>
    </w:p>
    <w:p>
      <w:pPr>
        <w:pStyle w:val="Normal"/>
        <w:spacing w:lineRule="auto" w:line="240" w:before="0" w:after="0"/>
        <w:rPr>
          <w:color w:val="0D0D0D"/>
          <w:sz w:val="20"/>
          <w:szCs w:val="20"/>
          <w:lang w:eastAsia="en-US"/>
        </w:rPr>
      </w:pPr>
      <w:r>
        <w:rPr>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Les journaux des opérations de consultation et de communication permettent d'établir la date, l'heure et le motif de ces opérations et d’identifier les personnes en étant à l’origine.</w:t>
      </w:r>
    </w:p>
    <w:p>
      <w:pPr>
        <w:pStyle w:val="Normal"/>
        <w:spacing w:lineRule="auto" w:line="240" w:before="0" w:after="0"/>
        <w:rPr>
          <w:color w:val="0D0D0D"/>
          <w:sz w:val="20"/>
          <w:szCs w:val="20"/>
          <w:lang w:eastAsia="en-US"/>
        </w:rPr>
      </w:pPr>
      <w:r>
        <w:rPr>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Ces informations sont conservées pour une durée maximale de 3 ans.</w:t>
      </w:r>
    </w:p>
    <w:p>
      <w:pPr>
        <w:pStyle w:val="Normal"/>
        <w:spacing w:lineRule="auto" w:line="240" w:before="0" w:after="0"/>
        <w:rPr>
          <w:rFonts w:cs="Arial"/>
          <w:color w:val="0D0D0D"/>
        </w:rPr>
      </w:pPr>
      <w:r>
        <w:rPr>
          <w:rFonts w:cs="Arial"/>
          <w:color w:val="0D0D0D"/>
        </w:rPr>
      </w:r>
    </w:p>
    <w:p>
      <w:pPr>
        <w:pStyle w:val="Titre3"/>
        <w:numPr>
          <w:ilvl w:val="2"/>
          <w:numId w:val="1"/>
        </w:numPr>
        <w:rPr/>
      </w:pPr>
      <w:bookmarkStart w:id="25" w:name="__RefHeading___Toc134540972"/>
      <w:bookmarkEnd w:id="25"/>
      <w:r>
        <w:rPr>
          <w:color w:val="0D0D0D"/>
        </w:rPr>
        <w:t xml:space="preserve">2.1.2. Accédants </w:t>
      </w:r>
    </w:p>
    <w:p>
      <w:pPr>
        <w:pStyle w:val="Normal"/>
        <w:spacing w:lineRule="auto" w:line="240" w:before="0" w:after="0"/>
        <w:rPr>
          <w:b/>
          <w:bCs/>
          <w:color w:val="FFFFFF"/>
        </w:rPr>
      </w:pPr>
      <w:r>
        <w:rPr>
          <w:b/>
          <w:bCs/>
          <w:color w:val="FFFFFF"/>
        </w:rPr>
      </w:r>
    </w:p>
    <w:tbl>
      <w:tblPr>
        <w:tblW w:w="995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969"/>
        <w:gridCol w:w="2051"/>
        <w:gridCol w:w="1916"/>
        <w:gridCol w:w="2017"/>
      </w:tblGrid>
      <w:tr>
        <w:trPr>
          <w:trHeight w:val="689" w:hRule="atLeast"/>
        </w:trPr>
        <w:tc>
          <w:tcPr>
            <w:tcW w:w="3969"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Catégories d’accédants</w:t>
            </w:r>
          </w:p>
        </w:tc>
        <w:tc>
          <w:tcPr>
            <w:tcW w:w="2051"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Accédant concerné</w:t>
            </w:r>
          </w:p>
        </w:tc>
        <w:tc>
          <w:tcPr>
            <w:tcW w:w="1916"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Profil</w:t>
            </w:r>
          </w:p>
        </w:tc>
        <w:tc>
          <w:tcPr>
            <w:tcW w:w="2017"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 de données pouvant être obtenues</w:t>
            </w:r>
          </w:p>
        </w:tc>
      </w:tr>
      <w:tr>
        <w:trPr>
          <w:trHeight w:val="689" w:hRule="atLeast"/>
        </w:trPr>
        <w:tc>
          <w:tcPr>
            <w:tcW w:w="9953" w:type="dxa"/>
            <w:gridSpan w:val="4"/>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0" w:after="0"/>
              <w:jc w:val="center"/>
              <w:rPr>
                <w:sz w:val="20"/>
                <w:szCs w:val="20"/>
              </w:rPr>
            </w:pPr>
            <w:r>
              <w:rPr>
                <w:sz w:val="20"/>
                <w:szCs w:val="20"/>
              </w:rPr>
              <w:t>S’agissant des accédants visionnant des images prises dans des lieux et établissements ouverts au public</w:t>
            </w:r>
          </w:p>
        </w:tc>
      </w:tr>
      <w:tr>
        <w:trPr>
          <w:trHeight w:val="966" w:hRule="atLeast"/>
        </w:trPr>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color w:val="0D0D0D"/>
                <w:sz w:val="20"/>
                <w:szCs w:val="20"/>
                <w:lang w:eastAsia="en-US"/>
              </w:rPr>
            </w:pPr>
            <w:r>
              <w:rPr>
                <w:color w:val="0D0D0D"/>
                <w:sz w:val="20"/>
                <w:szCs w:val="20"/>
                <w:lang w:eastAsia="en-US"/>
              </w:rPr>
            </w:r>
          </w:p>
          <w:p>
            <w:pPr>
              <w:pStyle w:val="Normal"/>
              <w:widowControl w:val="false"/>
              <w:spacing w:before="0" w:after="160"/>
              <w:jc w:val="center"/>
              <w:rPr>
                <w:sz w:val="20"/>
                <w:szCs w:val="20"/>
              </w:rPr>
            </w:pPr>
            <w:r>
              <w:rPr>
                <w:sz w:val="20"/>
                <w:szCs w:val="20"/>
              </w:rPr>
              <w:t>Les opérateurs privés agissant pour le compte du responsable du système, dans les conditions prévues à l’article L. 613-13</w:t>
            </w:r>
          </w:p>
        </w:tc>
        <w:tc>
          <w:tcPr>
            <w:tcW w:w="20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Calibri" w:cs="Calibri"/>
                <w:b/>
                <w:bCs/>
                <w:color w:val="0D0D0D"/>
                <w:sz w:val="20"/>
                <w:szCs w:val="20"/>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Calibri" w:cs="Calibri"/>
                <w:b/>
                <w:color w:val="0D0D0D"/>
                <w:sz w:val="20"/>
                <w:szCs w:val="20"/>
                <w:highlight w:val="yellow"/>
              </w:rPr>
              <w:t xml:space="preserve"> </w:t>
            </w:r>
            <w:r>
              <w:rPr>
                <w:b/>
                <w:color w:val="0D0D0D"/>
                <w:sz w:val="20"/>
                <w:szCs w:val="20"/>
                <w:highlight w:val="yellow"/>
              </w:rPr>
              <w:t>[A compléter]</w:t>
            </w:r>
          </w:p>
        </w:tc>
        <w:tc>
          <w:tcPr>
            <w:tcW w:w="2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images prises dans des lieux et établissements ouverts au public</w:t>
            </w:r>
          </w:p>
        </w:tc>
      </w:tr>
      <w:tr>
        <w:trPr>
          <w:trHeight w:val="737" w:hRule="atLeast"/>
        </w:trPr>
        <w:tc>
          <w:tcPr>
            <w:tcW w:w="9953" w:type="dxa"/>
            <w:gridSpan w:val="4"/>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0" w:after="0"/>
              <w:jc w:val="center"/>
              <w:rPr/>
            </w:pPr>
            <w:r>
              <w:rPr>
                <w:sz w:val="20"/>
                <w:szCs w:val="20"/>
              </w:rPr>
              <w:t xml:space="preserve">S’agissant des accédants visionnant des images prises sur la voie publique sur  les abords immédiats des bâtiments et installations des personnes morales de droit privé, y compris les commerçants, </w:t>
            </w:r>
            <w:r>
              <w:rPr>
                <w:color w:val="0D0D0D"/>
                <w:sz w:val="20"/>
                <w:szCs w:val="20"/>
              </w:rPr>
              <w:t>pour les seules images issues de leur système de vidéoprotection</w:t>
            </w:r>
          </w:p>
        </w:tc>
      </w:tr>
      <w:tr>
        <w:trPr>
          <w:trHeight w:val="1128" w:hRule="atLeast"/>
        </w:trPr>
        <w:tc>
          <w:tcPr>
            <w:tcW w:w="39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opérateurs privés agissant pour le compte de la personne morale autorisée à mettre en œuvre un système de vidéoprotection en application du premier alinéa de l’article L. 223-1, dans les conditions prévues à l’article L. 613-13</w:t>
            </w:r>
          </w:p>
        </w:tc>
        <w:tc>
          <w:tcPr>
            <w:tcW w:w="20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pPr>
            <w:r>
              <w:rPr>
                <w:rFonts w:eastAsia="Calibri" w:cs="Calibri"/>
                <w:b/>
                <w:bCs/>
                <w:color w:val="0D0D0D"/>
                <w:sz w:val="20"/>
                <w:szCs w:val="20"/>
                <w:highlight w:val="yellow"/>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pPr>
            <w:r>
              <w:rPr>
                <w:rFonts w:eastAsia="Calibri" w:cs="Calibri"/>
                <w:b/>
                <w:color w:val="0D0D0D"/>
                <w:sz w:val="20"/>
                <w:szCs w:val="20"/>
                <w:highlight w:val="yellow"/>
              </w:rPr>
              <w:t xml:space="preserve"> </w:t>
            </w:r>
            <w:r>
              <w:rPr>
                <w:b/>
                <w:color w:val="0D0D0D"/>
                <w:sz w:val="20"/>
                <w:szCs w:val="20"/>
                <w:highlight w:val="yellow"/>
              </w:rPr>
              <w:t>[A compléter]</w:t>
            </w:r>
          </w:p>
        </w:tc>
        <w:tc>
          <w:tcPr>
            <w:tcW w:w="2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images prises sur la voie publique</w:t>
            </w:r>
          </w:p>
        </w:tc>
      </w:tr>
      <w:tr>
        <w:trPr>
          <w:trHeight w:val="580" w:hRule="atLeast"/>
        </w:trPr>
        <w:tc>
          <w:tcPr>
            <w:tcW w:w="995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0"/>
                <w:szCs w:val="20"/>
              </w:rPr>
            </w:pPr>
            <w:r>
              <w:rPr>
                <w:sz w:val="20"/>
                <w:szCs w:val="20"/>
              </w:rPr>
              <w:t>S’agissant des accédants visionnant des images prises sur la voie publique sur les abords immédiats des bâtiments et installations des commerçants</w:t>
            </w:r>
          </w:p>
        </w:tc>
      </w:tr>
      <w:tr>
        <w:trPr>
          <w:trHeight w:val="2660" w:hRule="atLeast"/>
        </w:trPr>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 xml:space="preserve">Les agents des services de police nationale ; </w:t>
            </w:r>
          </w:p>
          <w:p>
            <w:pPr>
              <w:pStyle w:val="Normal"/>
              <w:widowControl w:val="false"/>
              <w:rPr/>
            </w:pPr>
            <w:r>
              <w:rPr>
                <w:sz w:val="20"/>
                <w:szCs w:val="20"/>
              </w:rPr>
              <w:t>Les agents des unités de la gendarmerie nationale</w:t>
            </w:r>
            <w:r>
              <w:rPr>
                <w:rFonts w:cs="Calibri"/>
                <w:sz w:val="20"/>
                <w:szCs w:val="20"/>
              </w:rPr>
              <w:t> </w:t>
            </w:r>
            <w:r>
              <w:rPr>
                <w:sz w:val="20"/>
                <w:szCs w:val="20"/>
              </w:rPr>
              <w:t>;</w:t>
            </w:r>
          </w:p>
          <w:p>
            <w:pPr>
              <w:pStyle w:val="Normal"/>
              <w:widowControl w:val="false"/>
              <w:rPr/>
            </w:pPr>
            <w:r>
              <w:rPr>
                <w:sz w:val="20"/>
                <w:szCs w:val="20"/>
              </w:rPr>
              <w:t>Les agents de police municipale</w:t>
            </w:r>
            <w:r>
              <w:rPr>
                <w:rFonts w:cs="Calibri"/>
                <w:sz w:val="20"/>
                <w:szCs w:val="20"/>
              </w:rPr>
              <w:t> ;</w:t>
            </w:r>
          </w:p>
          <w:p>
            <w:pPr>
              <w:pStyle w:val="Normal"/>
              <w:widowControl w:val="false"/>
              <w:spacing w:lineRule="auto" w:line="240" w:before="0" w:after="0"/>
              <w:rPr/>
            </w:pPr>
            <w:r>
              <w:rPr>
                <w:sz w:val="20"/>
                <w:szCs w:val="20"/>
              </w:rPr>
              <w:t>Les agents de la ville de Paris chargés d’un service de police, agréés par le procureur de la République et assermentés, mentionnés aux articles L. 531-1, L. 532-1 et L. 533-1</w:t>
            </w:r>
            <w:r>
              <w:rPr>
                <w:rFonts w:cs="Calibri"/>
                <w:sz w:val="20"/>
                <w:szCs w:val="20"/>
              </w:rPr>
              <w:t>.</w:t>
            </w:r>
          </w:p>
        </w:tc>
        <w:tc>
          <w:tcPr>
            <w:tcW w:w="20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images prises sur la voie publique</w:t>
            </w:r>
          </w:p>
        </w:tc>
      </w:tr>
    </w:tbl>
    <w:p>
      <w:pPr>
        <w:pStyle w:val="Normal"/>
        <w:spacing w:lineRule="auto" w:line="240" w:before="0" w:after="0"/>
        <w:rPr/>
      </w:pPr>
      <w:r>
        <w:rPr/>
      </w:r>
      <w:r>
        <w:br w:type="page"/>
      </w:r>
    </w:p>
    <w:p>
      <w:pPr>
        <w:pStyle w:val="Titre3"/>
        <w:numPr>
          <w:ilvl w:val="2"/>
          <w:numId w:val="1"/>
        </w:numPr>
        <w:rPr/>
      </w:pPr>
      <w:bookmarkStart w:id="26" w:name="__RefHeading___Toc134540973"/>
      <w:bookmarkEnd w:id="26"/>
      <w:r>
        <w:rPr>
          <w:color w:val="0D0D0D"/>
        </w:rPr>
        <w:t xml:space="preserve">2.1.3. Destinataires </w:t>
      </w:r>
    </w:p>
    <w:p>
      <w:pPr>
        <w:pStyle w:val="Normal"/>
        <w:spacing w:lineRule="auto" w:line="240" w:before="0" w:after="0"/>
        <w:rPr>
          <w:b/>
          <w:bCs/>
          <w:color w:val="FFFFFF"/>
        </w:rPr>
      </w:pPr>
      <w:r>
        <w:rPr>
          <w:b/>
          <w:bCs/>
          <w:color w:val="FFFFFF"/>
        </w:rPr>
      </w:r>
    </w:p>
    <w:tbl>
      <w:tblPr>
        <w:tblW w:w="1015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016"/>
        <w:gridCol w:w="2591"/>
        <w:gridCol w:w="2548"/>
      </w:tblGrid>
      <w:tr>
        <w:trPr>
          <w:trHeight w:val="812" w:hRule="atLeast"/>
        </w:trPr>
        <w:tc>
          <w:tcPr>
            <w:tcW w:w="5016"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Catégories de destinataires</w:t>
            </w:r>
          </w:p>
        </w:tc>
        <w:tc>
          <w:tcPr>
            <w:tcW w:w="2591"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Destinataire concerné</w:t>
            </w:r>
          </w:p>
        </w:tc>
        <w:tc>
          <w:tcPr>
            <w:tcW w:w="2548"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 de données pouvant être obtenues</w:t>
            </w:r>
          </w:p>
        </w:tc>
      </w:tr>
      <w:tr>
        <w:trPr>
          <w:trHeight w:val="3857"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D0D0D"/>
                <w:sz w:val="20"/>
                <w:szCs w:val="20"/>
              </w:rPr>
            </w:pPr>
            <w:r>
              <w:rPr>
                <w:color w:val="0D0D0D"/>
                <w:sz w:val="20"/>
                <w:szCs w:val="20"/>
              </w:rPr>
              <w:t>Les agents des services de police ou des unités de gendarmerie nationales, les agents des douanes ou des services d'incendie et de secours, individuellement désignés et dûment habilités, pour les seuls besoins de leurs missions, par le chef de service ou le chef d'unité à compétence départementale, régionale, zonale ou nationale sous l'autorité duquel ils sont affectés, et les agents de police municipale ainsi que les agents mentionnés aux articles L. 531 1, L. 532 1 et L. 533 1 individuellement désignés et dûment habilités, pour les seules images issues de systèmes implantés sur le territoire de la commune ou de l'établissement public de coopération intercommunale dont ils relèvent par le maire</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color w:val="0D0D0D"/>
                <w:sz w:val="20"/>
                <w:szCs w:val="20"/>
              </w:rPr>
            </w:pPr>
            <w:r>
              <w:rPr>
                <w:color w:val="0D0D0D"/>
                <w:sz w:val="20"/>
                <w:szCs w:val="20"/>
              </w:rPr>
            </w:r>
          </w:p>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r>
        <w:trPr>
          <w:trHeight w:val="1262"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autorités administratives et judiciaires dont la présence est requise dans les salles de commandement au sein desquelles des images de vidéoprotection sont transmises</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r>
        <w:trPr>
          <w:trHeight w:val="982"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L’autorité administrative et les services compétents dans le cadre d’une procédure administrative</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r>
        <w:trPr>
          <w:trHeight w:val="856"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officiers et agents de police judiciaire</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r>
        <w:trPr>
          <w:trHeight w:val="856" w:hRule="atLeast"/>
        </w:trPr>
        <w:tc>
          <w:tcPr>
            <w:tcW w:w="50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sz w:val="20"/>
                <w:szCs w:val="20"/>
              </w:rPr>
            </w:pPr>
            <w:r>
              <w:rPr>
                <w:sz w:val="20"/>
                <w:szCs w:val="20"/>
              </w:rPr>
              <w:t>Les agents des services d'inspection générale de l'Etat</w:t>
            </w:r>
          </w:p>
        </w:tc>
        <w:tc>
          <w:tcPr>
            <w:tcW w:w="25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color w:val="0D0D0D"/>
                <w:sz w:val="20"/>
                <w:szCs w:val="20"/>
              </w:rPr>
            </w:pPr>
            <w:r>
              <w:rPr>
                <w:color w:val="0D0D0D"/>
                <w:sz w:val="20"/>
                <w:szCs w:val="20"/>
              </w:rPr>
              <w:t>Les données mentionnées à l’article R. 253-1 du code de la sécurité intérieure</w:t>
            </w:r>
          </w:p>
        </w:tc>
      </w:tr>
    </w:tbl>
    <w:p>
      <w:pPr>
        <w:pStyle w:val="Normal"/>
        <w:spacing w:lineRule="auto" w:line="240" w:before="0" w:after="0"/>
        <w:rPr/>
      </w:pPr>
      <w:r>
        <w:rPr/>
      </w:r>
    </w:p>
    <w:p>
      <w:pPr>
        <w:pStyle w:val="Normal"/>
        <w:spacing w:lineRule="auto" w:line="240" w:before="0" w:after="0"/>
        <w:rPr/>
      </w:pPr>
      <w:r>
        <w:rPr/>
      </w:r>
      <w:r>
        <w:br w:type="page"/>
      </w:r>
    </w:p>
    <w:p>
      <w:pPr>
        <w:pStyle w:val="Titre3"/>
        <w:numPr>
          <w:ilvl w:val="2"/>
          <w:numId w:val="1"/>
        </w:numPr>
        <w:rPr>
          <w:color w:val="0D0D0D"/>
        </w:rPr>
      </w:pPr>
      <w:bookmarkStart w:id="27" w:name="__RefHeading___Toc134540974"/>
      <w:bookmarkEnd w:id="27"/>
      <w:r>
        <w:rPr>
          <w:color w:val="0D0D0D"/>
        </w:rPr>
        <w:t>2.1.4. Données sensibles ou relatives aux condamnations pénales, infractions ou mesures de sûreté</w:t>
      </w:r>
    </w:p>
    <w:p>
      <w:pPr>
        <w:pStyle w:val="Normal"/>
        <w:spacing w:lineRule="auto" w:line="240" w:before="0" w:after="0"/>
        <w:rPr>
          <w:color w:val="0D0D0D"/>
        </w:rPr>
      </w:pPr>
      <w:r>
        <w:rPr>
          <w:color w:val="0D0D0D"/>
        </w:rPr>
      </w:r>
    </w:p>
    <w:tbl>
      <w:tblPr>
        <w:tblW w:w="10545" w:type="dxa"/>
        <w:jc w:val="left"/>
        <w:tblInd w:w="-57" w:type="dxa"/>
        <w:tblLayout w:type="fixed"/>
        <w:tblCellMar>
          <w:top w:w="55" w:type="dxa"/>
          <w:left w:w="55" w:type="dxa"/>
          <w:bottom w:w="55" w:type="dxa"/>
          <w:right w:w="55" w:type="dxa"/>
        </w:tblCellMar>
        <w:tblLook w:firstRow="0" w:noVBand="0" w:lastRow="0" w:firstColumn="0" w:lastColumn="0" w:noHBand="0" w:val="0000"/>
      </w:tblPr>
      <w:tblGrid>
        <w:gridCol w:w="2099"/>
        <w:gridCol w:w="2208"/>
        <w:gridCol w:w="6238"/>
      </w:tblGrid>
      <w:tr>
        <w:trPr/>
        <w:tc>
          <w:tcPr>
            <w:tcW w:w="2099" w:type="dxa"/>
            <w:tcBorders>
              <w:top w:val="single" w:sz="2" w:space="0" w:color="000000"/>
              <w:left w:val="single" w:sz="2" w:space="0" w:color="000000"/>
              <w:bottom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Catégorie</w:t>
            </w:r>
          </w:p>
        </w:tc>
        <w:tc>
          <w:tcPr>
            <w:tcW w:w="2208" w:type="dxa"/>
            <w:tcBorders>
              <w:top w:val="single" w:sz="2" w:space="0" w:color="000000"/>
              <w:left w:val="single" w:sz="2" w:space="0" w:color="000000"/>
              <w:bottom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 xml:space="preserve">Enregistrement </w:t>
            </w:r>
          </w:p>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(oui / non)</w:t>
            </w:r>
          </w:p>
        </w:tc>
        <w:tc>
          <w:tcPr>
            <w:tcW w:w="6238" w:type="dxa"/>
            <w:tcBorders>
              <w:top w:val="single" w:sz="2" w:space="0" w:color="000000"/>
              <w:left w:val="single" w:sz="2" w:space="0" w:color="000000"/>
              <w:bottom w:val="single" w:sz="2" w:space="0" w:color="000000"/>
              <w:right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Justification de la collecte</w:t>
            </w:r>
          </w:p>
        </w:tc>
      </w:tr>
      <w:tr>
        <w:trPr/>
        <w:tc>
          <w:tcPr>
            <w:tcW w:w="10545" w:type="dxa"/>
            <w:gridSpan w:val="3"/>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Données sensibles de l’article 6 de la loi du 6 janvier 1978</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prétendue origine raciale ou l’origine ethnique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opinions politiques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convictions religieuses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convictions philosophiques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L’appartenance syndicale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santé</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vie sexuelle ou l’orientation sexuelle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données génétiques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Sans objet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données biométriques aux fins d’identifier une personne physique de manière unique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Sans objet</w:t>
            </w:r>
          </w:p>
        </w:tc>
      </w:tr>
      <w:tr>
        <w:trPr/>
        <w:tc>
          <w:tcPr>
            <w:tcW w:w="10545" w:type="dxa"/>
            <w:gridSpan w:val="3"/>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Données de l’article 46 de la loi du 6 janvier 1978</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condamnations pénales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textAlignment w:val="baseline"/>
              <w:rPr>
                <w:rFonts w:eastAsia="SimSun;宋体" w:cs="Calibri"/>
                <w:kern w:val="2"/>
                <w:sz w:val="20"/>
                <w:szCs w:val="20"/>
                <w:lang w:bidi="hi-IN"/>
              </w:rPr>
            </w:pPr>
            <w:r>
              <w:rPr>
                <w:rFonts w:eastAsia="SimSun;宋体" w:cs="Calibri"/>
                <w:kern w:val="2"/>
                <w:sz w:val="20"/>
                <w:szCs w:val="20"/>
                <w:lang w:bidi="hi-IN"/>
              </w:rPr>
              <w:t>Sans objet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infractions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0" w:after="0"/>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r>
              <w:rPr>
                <w:rStyle w:val="Fontstyle01"/>
              </w:rPr>
              <w: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mesures de sûreté</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textAlignment w:val="baseline"/>
              <w:rPr>
                <w:rFonts w:eastAsia="SimSun;宋体" w:cs="Calibri"/>
                <w:kern w:val="2"/>
                <w:sz w:val="20"/>
                <w:szCs w:val="20"/>
                <w:lang w:bidi="hi-IN"/>
              </w:rPr>
            </w:pPr>
            <w:r>
              <w:rPr>
                <w:rFonts w:eastAsia="SimSun;宋体" w:cs="Calibri"/>
                <w:kern w:val="2"/>
                <w:sz w:val="20"/>
                <w:szCs w:val="20"/>
                <w:lang w:bidi="hi-IN"/>
              </w:rPr>
              <w:t>Sans objet</w:t>
            </w:r>
          </w:p>
        </w:tc>
      </w:tr>
    </w:tbl>
    <w:p>
      <w:pPr>
        <w:pStyle w:val="Normal"/>
        <w:rPr/>
      </w:pPr>
      <w:r>
        <w:rPr/>
      </w:r>
      <w:r>
        <w:br w:type="page"/>
      </w:r>
    </w:p>
    <w:p>
      <w:pPr>
        <w:pStyle w:val="Titre3"/>
        <w:numPr>
          <w:ilvl w:val="2"/>
          <w:numId w:val="1"/>
        </w:numPr>
        <w:rPr>
          <w:color w:val="0D0D0D"/>
        </w:rPr>
      </w:pPr>
      <w:bookmarkStart w:id="28" w:name="__RefHeading___Toc134540975"/>
      <w:bookmarkEnd w:id="28"/>
      <w:r>
        <w:rPr>
          <w:color w:val="0D0D0D"/>
        </w:rPr>
        <w:t>2.1.5. Description des traitements de données et supports</w:t>
      </w:r>
    </w:p>
    <w:p>
      <w:pPr>
        <w:pStyle w:val="Normal"/>
        <w:rPr>
          <w:color w:val="0D0D0D"/>
        </w:rPr>
      </w:pPr>
      <w:r>
        <w:rPr>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668"/>
        <w:gridCol w:w="5241"/>
        <w:gridCol w:w="3122"/>
      </w:tblGrid>
      <w:tr>
        <w:trPr>
          <w:trHeight w:val="306" w:hRule="atLeast"/>
        </w:trPr>
        <w:tc>
          <w:tcPr>
            <w:tcW w:w="16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Traitements données</w:t>
            </w:r>
          </w:p>
        </w:tc>
        <w:tc>
          <w:tcPr>
            <w:tcW w:w="524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Description détaillée des traitements de données</w:t>
            </w:r>
          </w:p>
        </w:tc>
        <w:tc>
          <w:tcPr>
            <w:tcW w:w="312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Supports des données concernés </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left"/>
              <w:rPr>
                <w:rFonts w:ascii="Calibri Light" w:hAnsi="Calibri Light" w:cs="Calibri Light"/>
                <w:bCs/>
                <w:color w:val="0D0D0D"/>
                <w:sz w:val="20"/>
              </w:rPr>
            </w:pPr>
            <w:r>
              <w:rPr>
                <w:rFonts w:cs="Calibri Light" w:ascii="Calibri Light" w:hAnsi="Calibri Light"/>
                <w:bCs/>
                <w:color w:val="0D0D0D"/>
                <w:sz w:val="20"/>
              </w:rPr>
              <w:t>1. Captation, enregistrement et transmission des images</w:t>
            </w:r>
          </w:p>
          <w:p>
            <w:pPr>
              <w:pStyle w:val="Paragraphedeliste2"/>
              <w:widowControl w:val="false"/>
              <w:ind w:left="0" w:hanging="0"/>
              <w:jc w:val="left"/>
              <w:rPr>
                <w:rFonts w:ascii="Calibri Light" w:hAnsi="Calibri Light" w:cs="Calibri Light"/>
                <w:color w:val="0D0D0D"/>
              </w:rPr>
            </w:pPr>
            <w:r>
              <w:rPr>
                <w:rFonts w:cs="Calibri Light" w:ascii="Calibri Light" w:hAnsi="Calibri Light"/>
                <w:color w:val="0D0D0D"/>
              </w:rPr>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[Décrire les différents composants du système de vidéoprotection procédant à la captation, à l’enregistrement des images et à leur transmission vers les opérateurs vidéo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Nombre et lieu d’implantation des caméras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Centre de supervision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Système analogique ou numérique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Caméras fixes ou orientables, caméras dômes, caméras  PTZ, caméras mégapixel, plan large ou plan étroit, résolution des images, standards vidéo, capacité de zoom, sensibilité à la lumière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Câbles de transmission des images (cuivre coaxial, fibre optique, cuivre multipolaires, liaison radio)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Convertisseurs, normes de compression des images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 xml:space="preserve">Système d’enregistrement des données (DVR ou NVR), capacité de stockage ; </w:t>
            </w:r>
          </w:p>
          <w:p>
            <w:pPr>
              <w:pStyle w:val="Normal"/>
              <w:widowControl w:val="false"/>
              <w:numPr>
                <w:ilvl w:val="0"/>
                <w:numId w:val="5"/>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Postes informatiques de visualisation/pilotage (IHM), mur d’images, main courante informatisée, système de journalisation…]</w:t>
            </w:r>
          </w:p>
          <w:p>
            <w:pPr>
              <w:pStyle w:val="Normal"/>
              <w:widowControl w:val="false"/>
              <w:spacing w:lineRule="auto" w:line="240" w:before="0" w:after="0"/>
              <w:rPr>
                <w:rFonts w:ascii="Calibri Light" w:hAnsi="Calibri Light" w:cs="Calibri Light"/>
                <w:sz w:val="20"/>
                <w:highlight w:val="yellow"/>
              </w:rPr>
            </w:pPr>
            <w:r>
              <w:rPr>
                <w:rFonts w:cs="Calibri Light" w:ascii="Calibri Light" w:hAnsi="Calibri Light"/>
                <w:sz w:val="20"/>
                <w:highlight w:val="yellow"/>
              </w:rPr>
              <w:t>[Indiquer si le système est supervisé ou non, les plages horaires].</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2. Transfert des données</w:t>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Calibri Light" w:ascii="Calibri Light" w:hAnsi="Calibri Light"/>
                <w:sz w:val="20"/>
                <w:highlight w:val="yellow"/>
              </w:rPr>
              <w:t>[Le cas échéant, indiquer les modalités de transfert des images vers les destinataires mentionnés à l’article L.252-3 du CSI (ex : services de police)</w:t>
            </w:r>
            <w:r>
              <w:rPr>
                <w:rFonts w:eastAsia="CAAAAA+TimesNewRomanPSMT" w:cs="Calibri Light" w:ascii="Calibri Light" w:hAnsi="Calibri Light"/>
                <w:highlight w:val="yellow"/>
                <w:shd w:fill="FFFF00" w:val="clear"/>
              </w:rPr>
              <w:t>]</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3. Consultation des données</w:t>
            </w:r>
          </w:p>
        </w:tc>
        <w:tc>
          <w:tcPr>
            <w:tcW w:w="5241" w:type="dxa"/>
            <w:tcBorders>
              <w:top w:val="single" w:sz="4" w:space="0" w:color="000000"/>
              <w:left w:val="single" w:sz="4" w:space="0" w:color="000000"/>
              <w:bottom w:val="single" w:sz="4" w:space="0" w:color="000000"/>
              <w:right w:val="single" w:sz="4" w:space="0" w:color="000000"/>
            </w:tcBorders>
          </w:tcPr>
          <w:p>
            <w:pPr>
              <w:pStyle w:val="Commentaire1"/>
              <w:widowControl w:val="false"/>
              <w:spacing w:before="0" w:after="160"/>
              <w:rPr>
                <w:rFonts w:ascii="Calibri Light" w:hAnsi="Calibri Light" w:eastAsia="CAAAAA+TimesNewRomanPSMT" w:cs="Calibri Light"/>
                <w:highlight w:val="yellow"/>
              </w:rPr>
            </w:pPr>
            <w:r>
              <w:rPr>
                <w:rFonts w:eastAsia="CAAAAA+TimesNewRomanPSMT" w:cs="Calibri Light" w:ascii="Calibri Light" w:hAnsi="Calibri Light"/>
                <w:highlight w:val="yellow"/>
              </w:rPr>
              <w:t>[Décrire les modalités de consultation des données, y compris des enregistrement en direct]</w:t>
            </w:r>
          </w:p>
        </w:tc>
        <w:tc>
          <w:tcPr>
            <w:tcW w:w="3122" w:type="dxa"/>
            <w:tcBorders>
              <w:top w:val="single" w:sz="4" w:space="0" w:color="000000"/>
              <w:left w:val="single" w:sz="4" w:space="0" w:color="000000"/>
              <w:bottom w:val="single" w:sz="4" w:space="0" w:color="000000"/>
              <w:right w:val="single" w:sz="4" w:space="0" w:color="000000"/>
            </w:tcBorders>
          </w:tcPr>
          <w:p>
            <w:pPr>
              <w:pStyle w:val="WW-Standard"/>
              <w:widowControl w:val="false"/>
              <w:rPr>
                <w:rFonts w:ascii="Calibri Light" w:hAnsi="Calibri Light" w:cs="Calibri Light"/>
                <w:sz w:val="20"/>
                <w:szCs w:val="20"/>
                <w:highlight w:val="yellow"/>
              </w:rPr>
            </w:pPr>
            <w:r>
              <w:rPr>
                <w:rFonts w:cs="Calibri Light" w:ascii="Calibri Light" w:hAnsi="Calibri Light"/>
                <w:sz w:val="20"/>
                <w:szCs w:val="20"/>
                <w:highlight w:val="yellow"/>
              </w:rPr>
              <w:t>[A compléter]</w:t>
            </w:r>
          </w:p>
          <w:p>
            <w:pPr>
              <w:pStyle w:val="Normal"/>
              <w:widowControl w:val="false"/>
              <w:spacing w:before="0" w:after="0"/>
              <w:rPr>
                <w:rFonts w:ascii="Calibri Light" w:hAnsi="Calibri Light" w:eastAsia="CAAAAA+TimesNewRomanPSMT" w:cs="Calibri Light"/>
                <w:sz w:val="20"/>
                <w:szCs w:val="20"/>
                <w:highlight w:val="yellow"/>
              </w:rPr>
            </w:pPr>
            <w:r>
              <w:rPr>
                <w:rFonts w:eastAsia="CAAAAA+TimesNewRomanPSMT" w:cs="Calibri Light" w:ascii="Calibri Light" w:hAnsi="Calibri Light"/>
                <w:sz w:val="20"/>
                <w:szCs w:val="20"/>
                <w:highlight w:val="yellow"/>
              </w:rPr>
            </w:r>
          </w:p>
        </w:tc>
      </w:tr>
      <w:tr>
        <w:trPr>
          <w:trHeight w:val="964"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4. Extraction des données</w:t>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eastAsia="CAAAAA+TimesNewRomanPSMT" w:cs="Calibri Light"/>
                <w:sz w:val="20"/>
                <w:szCs w:val="20"/>
                <w:highlight w:val="yellow"/>
              </w:rPr>
            </w:pPr>
            <w:r>
              <w:rPr>
                <w:rFonts w:eastAsia="CAAAAA+TimesNewRomanPSMT" w:cs="Calibri Light" w:ascii="Calibri Light" w:hAnsi="Calibri Light"/>
                <w:sz w:val="20"/>
                <w:szCs w:val="20"/>
                <w:highlight w:val="yellow"/>
              </w:rPr>
              <w:t>[Décrire les modalités d’extraction des données en direct ainsi que des enregistrements]</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bl>
    <w:p>
      <w:pPr>
        <w:pStyle w:val="Normal"/>
        <w:spacing w:lineRule="auto" w:line="240" w:before="0" w:after="0"/>
        <w:rPr>
          <w:rFonts w:cs="Arial"/>
          <w:b/>
          <w:sz w:val="20"/>
          <w:szCs w:val="20"/>
        </w:rPr>
      </w:pPr>
      <w:r>
        <w:rPr>
          <w:rFonts w:cs="Arial"/>
          <w:b/>
          <w:sz w:val="20"/>
          <w:szCs w:val="20"/>
        </w:rPr>
      </w:r>
    </w:p>
    <w:p>
      <w:pPr>
        <w:pStyle w:val="Normal"/>
        <w:spacing w:lineRule="auto" w:line="240" w:before="0" w:after="0"/>
        <w:rPr>
          <w:rFonts w:cs="Arial"/>
          <w:b/>
          <w:sz w:val="20"/>
          <w:szCs w:val="20"/>
        </w:rPr>
      </w:pPr>
      <w:r>
        <w:rPr>
          <w:rFonts w:cs="Arial"/>
          <w:b/>
          <w:sz w:val="20"/>
          <w:szCs w:val="20"/>
        </w:rPr>
      </w:r>
      <w:r>
        <w:br w:type="page"/>
      </w:r>
    </w:p>
    <w:p>
      <w:pPr>
        <w:pStyle w:val="Titre1"/>
        <w:numPr>
          <w:ilvl w:val="0"/>
          <w:numId w:val="1"/>
        </w:numPr>
        <w:rPr/>
      </w:pPr>
      <w:r>
        <w:rPr>
          <w:rFonts w:eastAsia="Arial Narrow" w:cs="Arial Narrow"/>
        </w:rPr>
        <w:t xml:space="preserve"> </w:t>
      </w:r>
      <w:bookmarkStart w:id="29" w:name="__RefHeading___Toc134540976"/>
      <w:r>
        <w:rPr/>
        <w:t>3</w:t>
      </w:r>
      <w:r>
        <w:rPr>
          <w:rFonts w:cs="Calibri Light" w:ascii="Calibri Light" w:hAnsi="Calibri Light"/>
        </w:rPr>
        <w:t>. Principes fondamentaux</w:t>
      </w:r>
      <w:bookmarkEnd w:id="29"/>
    </w:p>
    <w:p>
      <w:pPr>
        <w:pStyle w:val="Corpsdetexte"/>
        <w:rPr>
          <w:rFonts w:ascii="Calibri Light" w:hAnsi="Calibri Light" w:cs="Calibri Light"/>
          <w:lang w:val="fr-FR"/>
        </w:rPr>
      </w:pPr>
      <w:r>
        <w:rPr>
          <w:rFonts w:cs="Calibri Light" w:ascii="Calibri Light" w:hAnsi="Calibri Light"/>
          <w:lang w:val="fr-FR"/>
        </w:rPr>
      </w:r>
    </w:p>
    <w:p>
      <w:pPr>
        <w:pStyle w:val="Titre2"/>
        <w:numPr>
          <w:ilvl w:val="1"/>
          <w:numId w:val="1"/>
        </w:numPr>
        <w:rPr>
          <w:rFonts w:cs="Calibri Light"/>
          <w:bCs w:val="false"/>
        </w:rPr>
      </w:pPr>
      <w:bookmarkStart w:id="30" w:name="__RefHeading___Toc134540977"/>
      <w:bookmarkEnd w:id="30"/>
      <w:r>
        <w:rPr>
          <w:rFonts w:cs="Calibri Light"/>
          <w:bCs w:val="false"/>
        </w:rPr>
        <w:t>3.1. Mesures garantissant la proportionnalité et la nécessité du traitement</w:t>
      </w:r>
    </w:p>
    <w:p>
      <w:pPr>
        <w:pStyle w:val="Titre3"/>
        <w:numPr>
          <w:ilvl w:val="2"/>
          <w:numId w:val="1"/>
        </w:numPr>
        <w:rPr>
          <w:rFonts w:cs="Calibri Light"/>
          <w:color w:val="0D0D0D"/>
        </w:rPr>
      </w:pPr>
      <w:bookmarkStart w:id="31" w:name="__RefHeading___Toc134540978"/>
      <w:bookmarkEnd w:id="31"/>
      <w:r>
        <w:rPr>
          <w:rFonts w:cs="Calibri Light"/>
          <w:color w:val="0D0D0D"/>
        </w:rPr>
        <w:t>3.1.1. Finalités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033"/>
        <w:gridCol w:w="4997"/>
      </w:tblGrid>
      <w:tr>
        <w:trPr>
          <w:trHeight w:val="509" w:hRule="atLeast"/>
        </w:trPr>
        <w:tc>
          <w:tcPr>
            <w:tcW w:w="503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4997"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Légitimité</w:t>
            </w:r>
          </w:p>
        </w:tc>
      </w:tr>
      <w:tr>
        <w:trPr>
          <w:trHeight w:val="509" w:hRule="atLeast"/>
        </w:trPr>
        <w:tc>
          <w:tcPr>
            <w:tcW w:w="5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eastAsia="Calibri" w:cs="Calibri Light"/>
                <w:sz w:val="20"/>
                <w:szCs w:val="20"/>
                <w:highlight w:val="yellow"/>
              </w:rPr>
            </w:pPr>
            <w:r>
              <w:rPr>
                <w:rFonts w:eastAsia="Calibri" w:cs="Calibri Light" w:ascii="Calibri Light" w:hAnsi="Calibri Light"/>
                <w:sz w:val="20"/>
                <w:szCs w:val="20"/>
                <w:highlight w:val="yellow"/>
              </w:rPr>
              <w:t>[Par exemple : Sécurité des personnes et des biens dans les lieux et établissements particulièrement exposés à des risques d’agression ou de vol]</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[Par exemple : agression ou vols fréquents …]</w:t>
            </w:r>
          </w:p>
        </w:tc>
      </w:tr>
    </w:tbl>
    <w:p>
      <w:pPr>
        <w:pStyle w:val="Normal"/>
        <w:spacing w:lineRule="auto" w:line="240" w:before="0" w:after="0"/>
        <w:rPr>
          <w:rFonts w:ascii="Calibri Light" w:hAnsi="Calibri Light" w:cs="Calibri Light"/>
        </w:rPr>
      </w:pPr>
      <w:r>
        <w:rPr>
          <w:rFonts w:cs="Calibri Light" w:ascii="Calibri Light" w:hAnsi="Calibri Light"/>
        </w:rPr>
      </w:r>
    </w:p>
    <w:p>
      <w:pPr>
        <w:pStyle w:val="Titre3"/>
        <w:numPr>
          <w:ilvl w:val="2"/>
          <w:numId w:val="1"/>
        </w:numPr>
        <w:rPr>
          <w:rFonts w:cs="Calibri Light"/>
          <w:color w:val="0D0D0D"/>
        </w:rPr>
      </w:pPr>
      <w:bookmarkStart w:id="32" w:name="__RefHeading___Toc134540979"/>
      <w:bookmarkEnd w:id="32"/>
      <w:r>
        <w:rPr>
          <w:rFonts w:cs="Calibri Light"/>
          <w:color w:val="0D0D0D"/>
        </w:rPr>
        <w:t>3.1.2. Fondement juridique et base légale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Le traitement des images provenant de systèmes de vidéoprotection est mis en œuvre dans les conditions prévues aux chapitres II et IV du titre V du livre II du code de la sécurité intérieure.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 xml:space="preserve">Le traitement des images relève du titre II de la loi informatique et libertés et du règlement (UE) 2016/679 du 27 avril 2016. </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 xml:space="preserve">La détermination de la base de licéité des traitements d’images dépend de leur finalité et de la qualité du responsable du système. Ainsi, lorsque le système est mis en œuvre par des personnes morales de droit privé, le traitement aura pour base de licéité la nécessité aux fins des intérêts légitimes poursuivis par le responsable du traitement ou par un tiers, soit le f du 1. de l’article 6 du règlement n°2016/679. </w:t>
      </w:r>
    </w:p>
    <w:p>
      <w:pPr>
        <w:pStyle w:val="Normal"/>
        <w:spacing w:lineRule="auto" w:line="240" w:before="0" w:after="0"/>
        <w:rPr>
          <w:rFonts w:ascii="Calibri Light" w:hAnsi="Calibri Light" w:cs="Calibri Light"/>
          <w:i/>
          <w:i/>
          <w:sz w:val="20"/>
          <w:szCs w:val="20"/>
        </w:rPr>
      </w:pPr>
      <w:r>
        <w:rPr>
          <w:rFonts w:cs="Calibri Light" w:ascii="Calibri Light" w:hAnsi="Calibri Light"/>
          <w:i/>
          <w:sz w:val="20"/>
          <w:szCs w:val="20"/>
        </w:rPr>
      </w:r>
    </w:p>
    <w:p>
      <w:pPr>
        <w:pStyle w:val="Titre3"/>
        <w:numPr>
          <w:ilvl w:val="2"/>
          <w:numId w:val="1"/>
        </w:numPr>
        <w:rPr>
          <w:rFonts w:cs="Calibri Light"/>
        </w:rPr>
      </w:pPr>
      <w:bookmarkStart w:id="33" w:name="__RefHeading___Toc134540980"/>
      <w:bookmarkEnd w:id="33"/>
      <w:r>
        <w:rPr>
          <w:rFonts w:cs="Calibri Light"/>
        </w:rPr>
        <w:t>3.1.3. Minimisation des données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754"/>
        <w:gridCol w:w="7276"/>
      </w:tblGrid>
      <w:tr>
        <w:trPr>
          <w:trHeight w:val="933" w:hRule="atLeast"/>
        </w:trPr>
        <w:tc>
          <w:tcPr>
            <w:tcW w:w="275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Détail des données traitées </w:t>
            </w:r>
          </w:p>
        </w:tc>
        <w:tc>
          <w:tcPr>
            <w:tcW w:w="727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de minimisation </w:t>
            </w:r>
          </w:p>
        </w:tc>
      </w:tr>
      <w:tr>
        <w:trPr>
          <w:trHeight w:val="506" w:hRule="atLeast"/>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Images captées.</w:t>
            </w:r>
          </w:p>
        </w:tc>
        <w:tc>
          <w:tcPr>
            <w:tcW w:w="7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[Indiquer les mesures de minimisation (par ex : formation des opérateurs vidéo ; séparation des enregistrements et des images en temps réel ; plusieurs salles dédiées respectivement à l’exploitation des images, aux équipements techniques, et à la relecture des images ; limitation des accès aux images aux seuls agents habilités ; floutage des lieux d’habitation )]</w:t>
            </w:r>
          </w:p>
        </w:tc>
      </w:tr>
      <w:tr>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Jour et plages horaires d’enregistrement.</w:t>
            </w:r>
          </w:p>
        </w:tc>
        <w:tc>
          <w:tcPr>
            <w:tcW w:w="7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569" w:hRule="atLeast"/>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Calibri Light" w:hAnsi="Calibri Light" w:cs="Calibri Light"/>
                <w:bCs/>
                <w:color w:val="0D0D0D"/>
                <w:sz w:val="20"/>
                <w:szCs w:val="20"/>
              </w:rPr>
            </w:pPr>
            <w:r>
              <w:rPr>
                <w:rFonts w:cs="Calibri Light" w:ascii="Calibri Light" w:hAnsi="Calibri Light"/>
                <w:bCs/>
                <w:color w:val="0D0D0D"/>
                <w:sz w:val="20"/>
                <w:szCs w:val="20"/>
              </w:rPr>
              <w:t>Lieu où ont été collectées les données.</w:t>
            </w:r>
          </w:p>
        </w:tc>
        <w:tc>
          <w:tcPr>
            <w:tcW w:w="7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Corpsdetexte"/>
        <w:rPr>
          <w:rFonts w:ascii="Calibri Light" w:hAnsi="Calibri Light" w:cs="Calibri Light"/>
          <w:lang w:val="fr-FR"/>
        </w:rPr>
      </w:pPr>
      <w:r>
        <w:rPr>
          <w:rFonts w:cs="Calibri Light" w:ascii="Calibri Light" w:hAnsi="Calibri Light"/>
          <w:lang w:val="fr-FR"/>
        </w:rPr>
      </w:r>
    </w:p>
    <w:p>
      <w:pPr>
        <w:pStyle w:val="Titre3"/>
        <w:numPr>
          <w:ilvl w:val="2"/>
          <w:numId w:val="1"/>
        </w:numPr>
        <w:rPr>
          <w:rFonts w:cs="Calibri Light"/>
        </w:rPr>
      </w:pPr>
      <w:bookmarkStart w:id="34" w:name="__RefHeading___Toc134540981"/>
      <w:bookmarkEnd w:id="34"/>
      <w:r>
        <w:rPr>
          <w:rFonts w:cs="Calibri Light"/>
        </w:rPr>
        <w:t>3.1.4. Qualité des données</w:t>
      </w:r>
    </w:p>
    <w:p>
      <w:pPr>
        <w:pStyle w:val="Normal"/>
        <w:rPr>
          <w:rFonts w:ascii="Calibri Light" w:hAnsi="Calibri Light" w:cs="Calibri Light"/>
          <w:sz w:val="20"/>
        </w:rPr>
      </w:pPr>
      <w:r>
        <w:rPr>
          <w:rFonts w:cs="Calibri Light" w:ascii="Calibri Light" w:hAnsi="Calibri Light"/>
          <w:sz w:val="20"/>
        </w:rPr>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4960"/>
        <w:gridCol w:w="4961"/>
      </w:tblGrid>
      <w:tr>
        <w:trPr/>
        <w:tc>
          <w:tcPr>
            <w:tcW w:w="496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Mesures pour la qualité des données</w:t>
            </w:r>
          </w:p>
        </w:tc>
        <w:tc>
          <w:tcPr>
            <w:tcW w:w="496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Modalités de mise en œuvre</w:t>
            </w:r>
          </w:p>
        </w:tc>
      </w:tr>
      <w:tr>
        <w:trPr/>
        <w:tc>
          <w:tcPr>
            <w:tcW w:w="4960"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t xml:space="preserve">Intégrité des images </w:t>
            </w:r>
          </w:p>
        </w:tc>
        <w:tc>
          <w:tcPr>
            <w:tcW w:w="4961" w:type="dxa"/>
            <w:tcBorders>
              <w:top w:val="single" w:sz="8" w:space="0" w:color="5B9BD5"/>
              <w:left w:val="single" w:sz="4" w:space="0" w:color="808080"/>
              <w:bottom w:val="single" w:sz="8" w:space="0" w:color="5B9BD5"/>
              <w:right w:val="single" w:sz="8" w:space="0" w:color="5B9BD5"/>
            </w:tcBorders>
          </w:tcPr>
          <w:p>
            <w:pPr>
              <w:pStyle w:val="Normal"/>
              <w:widowControl w:val="false"/>
              <w:snapToGrid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r>
          </w:p>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t xml:space="preserve">Les données collectées sont exclusivement tirées des images collectées. Il n’est pas possible de procéder à une rectification matérielle des images. </w:t>
            </w:r>
          </w:p>
          <w:p>
            <w:pPr>
              <w:pStyle w:val="Normal"/>
              <w:widowControl w:val="false"/>
              <w:rPr/>
            </w:pPr>
            <w:r>
              <w:rPr>
                <w:rFonts w:cs="Calibri Light" w:ascii="Calibri Light" w:hAnsi="Calibri Light"/>
                <w:sz w:val="20"/>
                <w:szCs w:val="20"/>
              </w:rPr>
              <w:t>Le format et la fréquence des images sont définis par l’arrêté définissant les normes techniques prévu à l’article L. 252-4 du code de la sécurité intérieure</w:t>
            </w:r>
          </w:p>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r>
          </w:p>
        </w:tc>
      </w:tr>
      <w:tr>
        <w:trPr/>
        <w:tc>
          <w:tcPr>
            <w:tcW w:w="4960"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t>Horodatage et lieu où ont été collectées les données</w:t>
            </w:r>
          </w:p>
        </w:tc>
        <w:tc>
          <w:tcPr>
            <w:tcW w:w="49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t>La date et les plages horaires de la collecte des images sont générées automatiquement et ne peuvent être modifiés</w:t>
            </w:r>
          </w:p>
        </w:tc>
      </w:tr>
      <w:tr>
        <w:trPr/>
        <w:tc>
          <w:tcPr>
            <w:tcW w:w="4960"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highlight w:val="yellow"/>
              </w:rPr>
            </w:pPr>
            <w:r>
              <w:rPr>
                <w:rFonts w:cs="Calibri Light" w:ascii="Calibri Light" w:hAnsi="Calibri Light"/>
                <w:bCs/>
                <w:color w:val="000000"/>
                <w:sz w:val="20"/>
                <w:szCs w:val="20"/>
                <w:highlight w:val="yellow"/>
              </w:rPr>
              <w:t>[A compléter]</w:t>
            </w:r>
          </w:p>
        </w:tc>
        <w:tc>
          <w:tcPr>
            <w:tcW w:w="4961"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rFonts w:ascii="Calibri Light" w:hAnsi="Calibri Light" w:cs="Calibri Light"/>
                <w:color w:val="000000"/>
                <w:sz w:val="20"/>
                <w:szCs w:val="20"/>
                <w:highlight w:val="yellow"/>
              </w:rPr>
            </w:pPr>
            <w:r>
              <w:rPr>
                <w:rFonts w:cs="Calibri Light" w:ascii="Calibri Light" w:hAnsi="Calibri Light"/>
                <w:color w:val="000000"/>
                <w:sz w:val="20"/>
                <w:szCs w:val="20"/>
                <w:highlight w:val="yellow"/>
              </w:rPr>
              <w:t>[A compléter]</w:t>
            </w:r>
          </w:p>
        </w:tc>
      </w:tr>
    </w:tbl>
    <w:p>
      <w:pPr>
        <w:pStyle w:val="Normal"/>
        <w:rPr>
          <w:rFonts w:ascii="Calibri Light" w:hAnsi="Calibri Light" w:cs="Calibri Light"/>
          <w:sz w:val="20"/>
        </w:rPr>
      </w:pPr>
      <w:r>
        <w:rPr>
          <w:rFonts w:cs="Calibri Light" w:ascii="Calibri Light" w:hAnsi="Calibri Light"/>
          <w:sz w:val="20"/>
        </w:rPr>
      </w:r>
    </w:p>
    <w:p>
      <w:pPr>
        <w:pStyle w:val="Normal"/>
        <w:rPr/>
      </w:pPr>
      <w:r>
        <w:rPr>
          <w:rFonts w:cs="Calibri Light" w:ascii="Calibri Light" w:hAnsi="Calibri Light"/>
          <w:sz w:val="20"/>
        </w:rPr>
        <w:t>A cet égard, les systèmes de vidéoprotection doivent être conformes à l’arrêté définissant les normes techniques prévu à l’article L. 252-4 du code de la sécurité intérieure.</w:t>
      </w:r>
    </w:p>
    <w:p>
      <w:pPr>
        <w:pStyle w:val="Titre3"/>
        <w:numPr>
          <w:ilvl w:val="2"/>
          <w:numId w:val="1"/>
        </w:numPr>
        <w:rPr>
          <w:rFonts w:cs="Calibri Light"/>
        </w:rPr>
      </w:pPr>
      <w:bookmarkStart w:id="35" w:name="__RefHeading___Toc134540982"/>
      <w:bookmarkEnd w:id="35"/>
      <w:r>
        <w:rPr>
          <w:rFonts w:cs="Calibri Light"/>
        </w:rPr>
        <w:t>3.1.5. Durées de conservation</w:t>
      </w:r>
    </w:p>
    <w:p>
      <w:pPr>
        <w:pStyle w:val="Normal"/>
        <w:rPr>
          <w:rFonts w:cs="Calibri Light"/>
        </w:rPr>
      </w:pPr>
      <w:r>
        <w:rPr>
          <w:rFonts w:cs="Calibri Light"/>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234"/>
        <w:gridCol w:w="2268"/>
        <w:gridCol w:w="2835"/>
        <w:gridCol w:w="2693"/>
      </w:tblGrid>
      <w:tr>
        <w:trPr/>
        <w:tc>
          <w:tcPr>
            <w:tcW w:w="223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ind w:right="-103" w:hanging="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Types de données </w:t>
            </w:r>
          </w:p>
        </w:tc>
        <w:tc>
          <w:tcPr>
            <w:tcW w:w="22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Durée de conservation </w:t>
            </w:r>
          </w:p>
        </w:tc>
        <w:tc>
          <w:tcPr>
            <w:tcW w:w="2835"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Justification de la durée de conservation </w:t>
            </w:r>
          </w:p>
        </w:tc>
        <w:tc>
          <w:tcPr>
            <w:tcW w:w="269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Mécanisme de suppression à la fin de la conservation </w:t>
            </w:r>
          </w:p>
        </w:tc>
      </w:tr>
      <w:tr>
        <w:trPr>
          <w:trHeight w:val="2978"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Images captées </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P-B"/>
              <w:widowControl w:val="false"/>
              <w:spacing w:before="120" w:after="0"/>
              <w:jc w:val="left"/>
              <w:rPr>
                <w:rFonts w:ascii="Calibri Light" w:hAnsi="Calibri Light" w:cs="Calibri Light"/>
                <w:highlight w:val="yellow"/>
              </w:rPr>
            </w:pPr>
            <w:r>
              <w:rPr>
                <w:rFonts w:cs="Calibri Light" w:ascii="Calibri Light" w:hAnsi="Calibri Light"/>
                <w:highlight w:val="yellow"/>
              </w:rPr>
              <w:t>[Indiquer la durée de conservation, qui est celle des images fixées par l’arrêté préfectoral dans la limite d’un mois, conformément à l’article L.252-3 du CSI]</w:t>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Permettre le traitement des enregistrements des images et la prise de décision d’une éventuelle extraction de données pour les besoins d’une procédure judiciaire, administrative ou disciplinaire. </w:t>
            </w:r>
          </w:p>
        </w:tc>
        <w:tc>
          <w:tcPr>
            <w:tcW w:w="2693" w:type="dxa"/>
            <w:vMerge w:val="restart"/>
            <w:tcBorders>
              <w:top w:val="single" w:sz="4" w:space="0" w:color="000000"/>
              <w:left w:val="single" w:sz="4" w:space="0" w:color="000000"/>
              <w:bottom w:val="single" w:sz="4" w:space="0" w:color="000000"/>
              <w:right w:val="single" w:sz="4" w:space="0" w:color="000000"/>
            </w:tcBorders>
          </w:tcPr>
          <w:p>
            <w:pPr>
              <w:pStyle w:val="P-B"/>
              <w:widowControl w:val="false"/>
              <w:spacing w:before="0" w:after="0"/>
              <w:rPr/>
            </w:pPr>
            <w:r>
              <w:rPr>
                <w:rFonts w:cs="Calibri Light" w:ascii="Calibri Light" w:hAnsi="Calibri Light"/>
              </w:rPr>
              <w:t>Hors le cas où ils sont utilisés dans le cadre d’une procédure judiciaire, administrative ou disciplinaire, les enregistrements sont automatiquement</w:t>
            </w:r>
            <w:r>
              <w:rPr>
                <w:rFonts w:cs="Calibri Light" w:ascii="Calibri Light" w:hAnsi="Calibri Light"/>
                <w:b/>
              </w:rPr>
              <w:t xml:space="preserve"> </w:t>
            </w:r>
            <w:r>
              <w:rPr>
                <w:rFonts w:cs="Calibri Light" w:ascii="Calibri Light" w:hAnsi="Calibri Light"/>
              </w:rPr>
              <w:t xml:space="preserve">effacés. </w:t>
            </w:r>
          </w:p>
        </w:tc>
      </w:tr>
      <w:tr>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Jour et plages horaires d’enregistrement.</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ind w:right="-103" w:hanging="0"/>
              <w:jc w:val="center"/>
              <w:rPr>
                <w:rFonts w:ascii="Calibri Light" w:hAnsi="Calibri Light" w:cs="Calibri Light"/>
                <w:sz w:val="20"/>
                <w:szCs w:val="20"/>
              </w:rPr>
            </w:pPr>
            <w:r>
              <w:rPr>
                <w:rFonts w:cs="Calibri Light" w:ascii="Calibri Light" w:hAnsi="Calibri Light"/>
                <w:sz w:val="20"/>
                <w:szCs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852"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Calibri Light" w:hAnsi="Calibri Light" w:cs="Calibri Light"/>
                <w:bCs/>
                <w:color w:val="0D0D0D"/>
                <w:sz w:val="20"/>
                <w:szCs w:val="20"/>
              </w:rPr>
            </w:pPr>
            <w:r>
              <w:rPr>
                <w:rFonts w:cs="Calibri Light" w:ascii="Calibri Light" w:hAnsi="Calibri Light"/>
                <w:bCs/>
                <w:color w:val="0D0D0D"/>
                <w:sz w:val="20"/>
                <w:szCs w:val="20"/>
              </w:rPr>
              <w:t>Lieu où ont été collectées les données.</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Corpsdetexte"/>
        <w:rPr>
          <w:rFonts w:ascii="Calibri Light" w:hAnsi="Calibri Light" w:cs="Calibri Light"/>
          <w:lang w:val="fr-FR"/>
        </w:rPr>
      </w:pPr>
      <w:r>
        <w:rPr>
          <w:rFonts w:cs="Calibri Light" w:ascii="Calibri Light" w:hAnsi="Calibri Light"/>
          <w:lang w:val="fr-FR"/>
        </w:rPr>
      </w:r>
    </w:p>
    <w:p>
      <w:pPr>
        <w:pStyle w:val="Titre3"/>
        <w:numPr>
          <w:ilvl w:val="2"/>
          <w:numId w:val="1"/>
        </w:numPr>
        <w:rPr>
          <w:rFonts w:cs="Calibri Light"/>
          <w:b/>
          <w:bCs/>
          <w:color w:val="FFFFFF"/>
        </w:rPr>
      </w:pPr>
      <w:bookmarkStart w:id="36" w:name="__RefHeading___Toc134540983"/>
      <w:bookmarkEnd w:id="36"/>
      <w:r>
        <w:rPr>
          <w:rFonts w:cs="Calibri Light"/>
          <w:b/>
          <w:bCs/>
          <w:color w:val="FFFFFF"/>
        </w:rPr>
        <w:t>3.1.6. Evaluation des mesures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958"/>
        <w:gridCol w:w="1253"/>
        <w:gridCol w:w="4820"/>
      </w:tblGrid>
      <w:tr>
        <w:trPr/>
        <w:tc>
          <w:tcPr>
            <w:tcW w:w="395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garantissant la proportionnalité et la nécessité du traitement </w:t>
            </w:r>
          </w:p>
        </w:tc>
        <w:tc>
          <w:tcPr>
            <w:tcW w:w="125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Acceptable / améliorable </w:t>
            </w:r>
          </w:p>
        </w:tc>
        <w:tc>
          <w:tcPr>
            <w:tcW w:w="482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Finalités : déterminées, explicites et légitimes</w:t>
            </w:r>
          </w:p>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Les finalités des traitements sont expressément définies à l’article L. 251-2 CSI.</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bCs/>
                <w:color w:val="0D0D0D"/>
                <w:sz w:val="20"/>
                <w:szCs w:val="20"/>
              </w:rPr>
            </w:pPr>
            <w:r>
              <w:rPr>
                <w:rFonts w:cs="Calibri Light" w:ascii="Calibri Light" w:hAnsi="Calibri Light"/>
                <w:b/>
                <w:bCs/>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Fondement : licéité du traitement</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 xml:space="preserve">Acceptable </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Minimisation des données : adéquates, pertinentes et limitées. </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t>Acceptable/améliorable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t>[à compléter le cas échéant]</w:t>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Qualité des données : exactes et tenues à jour.</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
                <w:color w:val="0D0D0D"/>
                <w:sz w:val="20"/>
                <w:szCs w:val="20"/>
              </w:rPr>
            </w:pPr>
            <w:r>
              <w:rPr>
                <w:rFonts w:cs="Calibri Light" w:ascii="Calibri Light" w:hAnsi="Calibri Light"/>
                <w:b/>
                <w:color w:val="0D0D0D"/>
                <w:sz w:val="20"/>
                <w:szCs w:val="20"/>
              </w:rPr>
            </w:r>
          </w:p>
        </w:tc>
      </w:tr>
      <w:tr>
        <w:trPr>
          <w:trHeight w:val="670"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Durée de conservation : limitée à une durée maximale de trente jours dans le cas de données à caractère personnel.</w:t>
            </w:r>
          </w:p>
          <w:p>
            <w:pPr>
              <w:pStyle w:val="Normal"/>
              <w:widowControl w:val="false"/>
              <w:spacing w:before="0" w:after="0"/>
              <w:rPr>
                <w:rFonts w:ascii="Calibri Light" w:hAnsi="Calibri Light" w:eastAsia="Calibri" w:cs="Calibri Light"/>
                <w:bCs/>
                <w:color w:val="0D0D0D"/>
                <w:sz w:val="20"/>
                <w:szCs w:val="20"/>
              </w:rPr>
            </w:pPr>
            <w:r>
              <w:rPr>
                <w:rFonts w:eastAsia="Calibri" w:cs="Calibri Light" w:ascii="Calibri Light" w:hAnsi="Calibri Light"/>
                <w:bCs/>
                <w:color w:val="0D0D0D"/>
                <w:sz w:val="20"/>
                <w:szCs w:val="20"/>
              </w:rPr>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r>
    </w:tbl>
    <w:p>
      <w:pPr>
        <w:pStyle w:val="Titre2"/>
        <w:numPr>
          <w:ilvl w:val="1"/>
          <w:numId w:val="1"/>
        </w:numPr>
        <w:rPr>
          <w:bCs w:val="false"/>
        </w:rPr>
      </w:pPr>
      <w:r>
        <w:rPr>
          <w:bCs w:val="false"/>
        </w:rPr>
      </w:r>
    </w:p>
    <w:p>
      <w:pPr>
        <w:pStyle w:val="Titre2"/>
        <w:numPr>
          <w:ilvl w:val="1"/>
          <w:numId w:val="1"/>
        </w:numPr>
        <w:rPr/>
      </w:pPr>
      <w:bookmarkStart w:id="37" w:name="__RefHeading___Toc134540984"/>
      <w:bookmarkEnd w:id="37"/>
      <w:r>
        <w:rPr>
          <w:bCs w:val="false"/>
        </w:rPr>
        <w:t xml:space="preserve">3.2. Évaluation des mesures protectrices des droits des personnes concernées </w:t>
      </w:r>
    </w:p>
    <w:p>
      <w:pPr>
        <w:pStyle w:val="Titre3"/>
        <w:numPr>
          <w:ilvl w:val="2"/>
          <w:numId w:val="1"/>
        </w:numPr>
        <w:rPr>
          <w:rFonts w:cs="Arial"/>
          <w:color w:val="0D0D0D"/>
        </w:rPr>
      </w:pPr>
      <w:bookmarkStart w:id="38" w:name="__RefHeading___Toc134540985"/>
      <w:bookmarkEnd w:id="38"/>
      <w:r>
        <w:rPr>
          <w:rFonts w:cs="Arial"/>
          <w:color w:val="0D0D0D"/>
        </w:rPr>
        <w:t>3.2.1. Mesures pour l’information des personnes</w:t>
      </w:r>
    </w:p>
    <w:p>
      <w:pPr>
        <w:pStyle w:val="P-B"/>
        <w:spacing w:lineRule="auto" w:line="240"/>
        <w:rPr>
          <w:rFonts w:ascii="Calibri Light" w:hAnsi="Calibri Light" w:cs="Calibri Light"/>
        </w:rPr>
      </w:pPr>
      <w:r>
        <w:rPr>
          <w:rFonts w:cs="Calibri Light" w:ascii="Calibri Light" w:hAnsi="Calibri Light"/>
        </w:rPr>
        <w:t>Les personnes concernées par les traitements doivent être informées dans les conditions prévues par la loi informatique et libertés et le code de la sécurité intérieure.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L’article R. 253-6 du CSI prévoit que l’information doit aussi être apportée au moyen d’affiches ou de panonceaux comportant un pictogramme représentant une caméra.</w:t>
      </w:r>
    </w:p>
    <w:p>
      <w:pPr>
        <w:pStyle w:val="P-B"/>
        <w:spacing w:lineRule="auto" w:line="240"/>
        <w:rPr>
          <w:rFonts w:ascii="Calibri Light" w:hAnsi="Calibri Light" w:cs="Calibri Light"/>
        </w:rPr>
      </w:pPr>
      <w:r>
        <w:rPr>
          <w:rFonts w:cs="Calibri Light" w:ascii="Calibri Light" w:hAnsi="Calibri Light"/>
        </w:rPr>
        <w:t xml:space="preserve">Les informations prévues à l’article 14 du règlement (UE) 2016/679 du 27 avril 2016 sont mises à disposition des personnes concernées. </w:t>
      </w:r>
    </w:p>
    <w:p>
      <w:pPr>
        <w:pStyle w:val="P-B"/>
        <w:rPr>
          <w:rFonts w:ascii="Calibri Light" w:hAnsi="Calibri Light" w:cs="Calibri Light"/>
        </w:rPr>
      </w:pPr>
      <w:r>
        <w:rPr>
          <w:rFonts w:cs="Calibri Light" w:ascii="Calibri Light" w:hAnsi="Calibri Light"/>
        </w:rPr>
      </w:r>
    </w:p>
    <w:tbl>
      <w:tblPr>
        <w:tblW w:w="9916"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963"/>
        <w:gridCol w:w="5952"/>
      </w:tblGrid>
      <w:tr>
        <w:trPr/>
        <w:tc>
          <w:tcPr>
            <w:tcW w:w="3963"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pour le droit à l’information </w:t>
            </w:r>
          </w:p>
        </w:tc>
        <w:tc>
          <w:tcPr>
            <w:tcW w:w="5952"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Modalités de mise en œuvre et justifications</w:t>
            </w:r>
          </w:p>
        </w:tc>
      </w:tr>
      <w:tr>
        <w:trPr/>
        <w:tc>
          <w:tcPr>
            <w:tcW w:w="3963" w:type="dxa"/>
            <w:tcBorders>
              <w:top w:val="single" w:sz="8" w:space="0" w:color="5B9BD5"/>
              <w:left w:val="single" w:sz="8" w:space="0" w:color="5B9BD5"/>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Présentation des conditions d’utilisation/confidentialité</w:t>
            </w:r>
          </w:p>
        </w:tc>
        <w:tc>
          <w:tcPr>
            <w:tcW w:w="5952" w:type="dxa"/>
            <w:tcBorders>
              <w:top w:val="single" w:sz="8" w:space="0" w:color="5B9BD5"/>
              <w:left w:val="single" w:sz="4" w:space="0" w:color="808080"/>
              <w:bottom w:val="single" w:sz="4" w:space="0" w:color="808080"/>
              <w:right w:val="single" w:sz="8" w:space="0" w:color="5B9BD5"/>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Possibilité d’accéder aux conditions d’utilisation/confidentialité</w:t>
            </w:r>
          </w:p>
        </w:tc>
        <w:tc>
          <w:tcPr>
            <w:tcW w:w="5952" w:type="dxa"/>
            <w:tcBorders>
              <w:top w:val="single" w:sz="4" w:space="0" w:color="808080"/>
              <w:left w:val="single" w:sz="4" w:space="0" w:color="808080"/>
              <w:bottom w:val="single" w:sz="8" w:space="0" w:color="5B9BD5"/>
              <w:right w:val="single" w:sz="4" w:space="0" w:color="808080"/>
            </w:tcBorders>
          </w:tcPr>
          <w:p>
            <w:pPr>
              <w:pStyle w:val="Normal"/>
              <w:widowControl w:val="false"/>
              <w:tabs>
                <w:tab w:val="clear" w:pos="720"/>
                <w:tab w:val="left" w:pos="960" w:leader="none"/>
              </w:tabs>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Conditions lisibles et compréhensibles </w:t>
            </w:r>
          </w:p>
        </w:tc>
        <w:tc>
          <w:tcPr>
            <w:tcW w:w="5952"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Présentation détaillée des finalités des traitements de données (objectifs précis, croisements de données s’il y a lieu, etc.) </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Présentation des droits de la personne concernée (retrait du consentement, suppression de données, etc.) </w:t>
            </w:r>
          </w:p>
        </w:tc>
        <w:tc>
          <w:tcPr>
            <w:tcW w:w="5952"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pPr>
            <w:r>
              <w:rPr>
                <w:rFonts w:eastAsia="Calibri Light" w:cs="Calibri Light" w:ascii="Calibri Light" w:hAnsi="Calibri Light"/>
                <w:bCs/>
                <w:sz w:val="20"/>
                <w:szCs w:val="20"/>
              </w:rPr>
              <w:t xml:space="preserve"> </w:t>
            </w: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Information sur le mode de stockage sécurisé des données, notamment en cas d’externalisation </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highlight w:val="yellow"/>
              </w:rPr>
            </w:pPr>
            <w:r>
              <w:rPr>
                <w:rFonts w:cs="Calibri Light" w:ascii="Calibri Light" w:hAnsi="Calibri Light"/>
                <w:bCs/>
                <w:sz w:val="20"/>
                <w:szCs w:val="20"/>
                <w:highlight w:val="yellow"/>
              </w:rPr>
              <w:t>[A compléter le cas échéant]</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Modalités de contact du responsable de traitement (identité et coordonnées) pour les questions de confidentialité</w:t>
            </w:r>
          </w:p>
        </w:tc>
        <w:tc>
          <w:tcPr>
            <w:tcW w:w="5952"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pPr>
            <w:r>
              <w:rPr>
                <w:rFonts w:cs="Calibri Light" w:ascii="Calibri Light" w:hAnsi="Calibri Light"/>
                <w:bCs/>
                <w:sz w:val="20"/>
                <w:szCs w:val="20"/>
              </w:rPr>
              <w:t xml:space="preserve">Les coordonnées du responsable de traitement sont </w:t>
            </w:r>
            <w:r>
              <w:rPr>
                <w:rFonts w:cs="Calibri Light" w:ascii="Calibri Light" w:hAnsi="Calibri Light"/>
                <w:bCs/>
                <w:sz w:val="20"/>
                <w:szCs w:val="20"/>
                <w:highlight w:val="yellow"/>
              </w:rPr>
              <w:t>[à compléter]</w:t>
            </w:r>
            <w:r>
              <w:rPr>
                <w:rFonts w:cs="Calibri Light" w:ascii="Calibri Light" w:hAnsi="Calibri Light"/>
                <w:bCs/>
                <w:sz w:val="20"/>
                <w:szCs w:val="20"/>
              </w:rPr>
              <w:t xml:space="preserve">. Le Délégué à la protection des données (DPD) du responsable de traitement peut également être contacté au courriel suivant </w:t>
            </w:r>
            <w:r>
              <w:rPr>
                <w:rFonts w:cs="Calibri Light" w:ascii="Calibri Light" w:hAnsi="Calibri Light"/>
                <w:bCs/>
                <w:sz w:val="20"/>
                <w:szCs w:val="20"/>
                <w:highlight w:val="yellow"/>
              </w:rPr>
              <w:t>[à compléter]</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Le cas échéant, information de la personne concernée de tout changement concernant les données collectées, les finalités, les clauses de confidentialité</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highlight w:val="yellow"/>
              </w:rPr>
            </w:pPr>
            <w:r>
              <w:rPr>
                <w:rFonts w:cs="Calibri Light" w:ascii="Calibri Light" w:hAnsi="Calibri Light"/>
                <w:bCs/>
                <w:sz w:val="20"/>
                <w:szCs w:val="20"/>
                <w:highlight w:val="yellow"/>
              </w:rPr>
              <w:t>[A compléter le cas échéant]</w:t>
            </w:r>
          </w:p>
        </w:tc>
      </w:tr>
    </w:tbl>
    <w:p>
      <w:pPr>
        <w:pStyle w:val="P-B"/>
        <w:rPr>
          <w:rFonts w:ascii="Calibri Light" w:hAnsi="Calibri Light" w:cs="Calibri Light"/>
        </w:rPr>
      </w:pPr>
      <w:r>
        <w:rPr>
          <w:rFonts w:cs="Calibri Light" w:ascii="Calibri Light" w:hAnsi="Calibri Light"/>
        </w:rPr>
      </w:r>
    </w:p>
    <w:p>
      <w:pPr>
        <w:pStyle w:val="Titre3"/>
        <w:numPr>
          <w:ilvl w:val="2"/>
          <w:numId w:val="1"/>
        </w:numPr>
        <w:rPr>
          <w:rFonts w:cs="Calibri Light"/>
          <w:color w:val="0D0D0D"/>
        </w:rPr>
      </w:pPr>
      <w:bookmarkStart w:id="39" w:name="__RefHeading___Toc134540986"/>
      <w:bookmarkEnd w:id="39"/>
      <w:r>
        <w:rPr>
          <w:rFonts w:cs="Calibri Light"/>
          <w:color w:val="0D0D0D"/>
        </w:rPr>
        <w:t>3.2.2 Mesures pour le recueil du consentement</w:t>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t xml:space="preserve">Le consentement ne constitue pas la base de licéité des traitements. Il n'est donc pas recueilli. </w:t>
      </w:r>
    </w:p>
    <w:p>
      <w:pPr>
        <w:pStyle w:val="Normal"/>
        <w:spacing w:lineRule="auto" w:line="240" w:before="0" w:after="0"/>
        <w:rPr>
          <w:rFonts w:ascii="Calibri Light" w:hAnsi="Calibri Light" w:cs="Calibri Light"/>
          <w:i/>
          <w:i/>
          <w:color w:val="0D0D0D"/>
          <w:sz w:val="20"/>
          <w:szCs w:val="20"/>
        </w:rPr>
      </w:pPr>
      <w:r>
        <w:rPr>
          <w:rFonts w:cs="Calibri Light" w:ascii="Calibri Light" w:hAnsi="Calibri Light"/>
          <w:i/>
          <w:color w:val="0D0D0D"/>
          <w:sz w:val="20"/>
          <w:szCs w:val="20"/>
        </w:rPr>
      </w:r>
    </w:p>
    <w:p>
      <w:pPr>
        <w:pStyle w:val="Titre3"/>
        <w:numPr>
          <w:ilvl w:val="2"/>
          <w:numId w:val="1"/>
        </w:numPr>
        <w:rPr>
          <w:rFonts w:cs="Calibri Light"/>
          <w:color w:val="0D0D0D"/>
        </w:rPr>
      </w:pPr>
      <w:bookmarkStart w:id="40" w:name="__RefHeading___Toc134540987"/>
      <w:bookmarkEnd w:id="40"/>
      <w:r>
        <w:rPr>
          <w:rFonts w:cs="Calibri Light"/>
          <w:color w:val="0D0D0D"/>
        </w:rPr>
        <w:t>3.2.3. Mesures pour les droits d’accès et à la portabilité</w:t>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spacing w:lineRule="auto" w:line="276" w:before="0" w:after="200"/>
        <w:rPr>
          <w:rFonts w:ascii="Calibri Light" w:hAnsi="Calibri Light" w:cs="Calibri Light"/>
          <w:sz w:val="20"/>
          <w:szCs w:val="20"/>
          <w:lang w:eastAsia="en-US"/>
        </w:rPr>
      </w:pPr>
      <w:r>
        <w:rPr>
          <w:rFonts w:cs="Calibri Light" w:ascii="Calibri Light" w:hAnsi="Calibri Light"/>
          <w:sz w:val="20"/>
          <w:szCs w:val="20"/>
          <w:lang w:eastAsia="en-US"/>
        </w:rPr>
        <w:t xml:space="preserve">Le droit d’accès prévu à l’article 15 du règlement (UE) 2016/679 du 27 avril 2016 s’exerce directement auprès du responsable de traitement. </w:t>
      </w:r>
    </w:p>
    <w:p>
      <w:pPr>
        <w:pStyle w:val="Normal"/>
        <w:spacing w:lineRule="auto" w:line="240" w:before="0" w:after="0"/>
        <w:rPr>
          <w:rFonts w:ascii="Calibri Light" w:hAnsi="Calibri Light" w:cs="Calibri Light"/>
          <w:sz w:val="20"/>
          <w:szCs w:val="20"/>
          <w:lang w:eastAsia="en-US"/>
        </w:rPr>
      </w:pPr>
      <w:r>
        <w:rPr>
          <w:rFonts w:cs="Calibri Light" w:ascii="Calibri Light" w:hAnsi="Calibri Light"/>
          <w:sz w:val="20"/>
          <w:szCs w:val="20"/>
          <w:lang w:eastAsia="en-US"/>
        </w:rPr>
        <w:t xml:space="preserve">Le droit à la portabilité des données prévu à l'article 20 du règlement UE 2016/679 du 27 avril 2016 n'est pas applicable au traitement. </w:t>
      </w:r>
    </w:p>
    <w:p>
      <w:pPr>
        <w:pStyle w:val="Normal"/>
        <w:spacing w:lineRule="auto" w:line="240" w:before="0" w:after="0"/>
        <w:rPr>
          <w:rFonts w:ascii="Calibri Light" w:hAnsi="Calibri Light" w:cs="Calibri Light"/>
          <w:color w:val="00000A"/>
          <w:sz w:val="20"/>
          <w:szCs w:val="20"/>
        </w:rPr>
      </w:pPr>
      <w:r>
        <w:rPr>
          <w:rFonts w:cs="Calibri Light" w:ascii="Calibri Light" w:hAnsi="Calibri Light"/>
          <w:color w:val="00000A"/>
          <w:sz w:val="20"/>
          <w:szCs w:val="20"/>
        </w:rPr>
      </w:r>
    </w:p>
    <w:p>
      <w:pPr>
        <w:pStyle w:val="Titre3"/>
        <w:numPr>
          <w:ilvl w:val="2"/>
          <w:numId w:val="1"/>
        </w:numPr>
        <w:rPr>
          <w:rFonts w:cs="Arial"/>
          <w:color w:val="0D0D0D"/>
        </w:rPr>
      </w:pPr>
      <w:bookmarkStart w:id="41" w:name="__RefHeading___Toc134540988"/>
      <w:bookmarkEnd w:id="41"/>
      <w:r>
        <w:rPr>
          <w:rFonts w:cs="Arial"/>
          <w:color w:val="0D0D0D"/>
        </w:rPr>
        <w:t>3.2.4. Mesures pour les droits de rectification et d’effacement</w:t>
      </w:r>
    </w:p>
    <w:p>
      <w:pPr>
        <w:pStyle w:val="Normal"/>
        <w:spacing w:before="0" w:after="0"/>
        <w:rPr>
          <w:rFonts w:cs="Arial"/>
          <w:sz w:val="20"/>
          <w:szCs w:val="20"/>
        </w:rPr>
      </w:pPr>
      <w:r>
        <w:rPr>
          <w:rFonts w:cs="Arial"/>
          <w:sz w:val="20"/>
          <w:szCs w:val="20"/>
        </w:rPr>
      </w:r>
    </w:p>
    <w:p>
      <w:pPr>
        <w:pStyle w:val="Normal"/>
        <w:spacing w:lineRule="auto" w:line="276" w:before="0" w:after="200"/>
        <w:rPr>
          <w:rFonts w:ascii="Calibri Light" w:hAnsi="Calibri Light" w:cs="Calibri Light"/>
          <w:sz w:val="20"/>
          <w:szCs w:val="20"/>
          <w:lang w:eastAsia="en-US"/>
        </w:rPr>
      </w:pPr>
      <w:r>
        <w:rPr>
          <w:rFonts w:cs="Calibri Light" w:ascii="Calibri Light" w:hAnsi="Calibri Light"/>
          <w:sz w:val="20"/>
          <w:szCs w:val="20"/>
          <w:lang w:eastAsia="en-US"/>
        </w:rPr>
        <w:t xml:space="preserve">Les droits de rectification et d’effacement prévus aux articles 16 et 17 du règlement (UE) 2016/679 du 27 avril 2016 s'exercent directement auprès du responsable de traitement. </w:t>
      </w:r>
    </w:p>
    <w:p>
      <w:pPr>
        <w:pStyle w:val="Titre3"/>
        <w:numPr>
          <w:ilvl w:val="2"/>
          <w:numId w:val="1"/>
        </w:numPr>
        <w:rPr>
          <w:rFonts w:cs="Arial"/>
          <w:color w:val="0D0D0D"/>
        </w:rPr>
      </w:pPr>
      <w:bookmarkStart w:id="42" w:name="__RefHeading___Toc134540989"/>
      <w:bookmarkEnd w:id="42"/>
      <w:r>
        <w:rPr>
          <w:rFonts w:cs="Arial"/>
          <w:color w:val="0D0D0D"/>
        </w:rPr>
        <w:t>3.2.5. Mesures pour les droits à la limitation du traitement et d’opposition</w:t>
      </w:r>
    </w:p>
    <w:p>
      <w:pPr>
        <w:pStyle w:val="Normal"/>
        <w:spacing w:lineRule="auto" w:line="240" w:before="0" w:after="0"/>
        <w:rPr/>
      </w:pPr>
      <w:r>
        <w:rPr/>
      </w:r>
    </w:p>
    <w:p>
      <w:pPr>
        <w:pStyle w:val="Normal"/>
        <w:spacing w:lineRule="auto" w:line="276" w:before="0" w:after="200"/>
        <w:rPr/>
      </w:pPr>
      <w:r>
        <w:rPr>
          <w:rFonts w:cs="Calibri Light" w:ascii="Calibri Light" w:hAnsi="Calibri Light"/>
          <w:sz w:val="20"/>
          <w:szCs w:val="20"/>
        </w:rPr>
        <w:t>Le droit à la limitation prévu</w:t>
      </w:r>
      <w:r>
        <w:rPr>
          <w:rFonts w:cs="Calibri Light" w:ascii="Calibri Light" w:hAnsi="Calibri Light"/>
          <w:sz w:val="20"/>
          <w:szCs w:val="20"/>
          <w:lang w:eastAsia="en-US"/>
        </w:rPr>
        <w:t xml:space="preserve"> à l’article 18 du règlement (UE) 2016/679 du 27 avril 2016 s’exerce directement auprès du responsable de traitement. </w:t>
      </w:r>
    </w:p>
    <w:p>
      <w:pPr>
        <w:pStyle w:val="Normal"/>
        <w:rPr>
          <w:rFonts w:ascii="Calibri Light" w:hAnsi="Calibri Light" w:cs="Calibri Light"/>
          <w:sz w:val="20"/>
          <w:szCs w:val="20"/>
          <w:lang w:eastAsia="en-US"/>
        </w:rPr>
      </w:pPr>
      <w:r>
        <w:rPr>
          <w:rFonts w:cs="Calibri Light" w:ascii="Calibri Light" w:hAnsi="Calibri Light"/>
          <w:sz w:val="20"/>
          <w:szCs w:val="20"/>
          <w:lang w:eastAsia="en-US"/>
        </w:rPr>
        <w:t xml:space="preserve">Conformément à l’article 23 du même règlement, le droit d’opposition ne s’applique pas au présent traitement. </w:t>
      </w:r>
    </w:p>
    <w:p>
      <w:pPr>
        <w:pStyle w:val="Titre3"/>
        <w:numPr>
          <w:ilvl w:val="2"/>
          <w:numId w:val="1"/>
        </w:numPr>
        <w:rPr>
          <w:rFonts w:cs="Calibri Light"/>
          <w:color w:val="0D0D0D"/>
        </w:rPr>
      </w:pPr>
      <w:bookmarkStart w:id="43" w:name="__RefHeading___Toc134540990"/>
      <w:bookmarkEnd w:id="43"/>
      <w:r>
        <w:rPr>
          <w:rFonts w:cs="Calibri Light"/>
          <w:color w:val="0D0D0D"/>
        </w:rPr>
        <w:t>3.2.6. Mesures pour la sous-traitance</w:t>
      </w:r>
    </w:p>
    <w:p>
      <w:pPr>
        <w:pStyle w:val="Normal"/>
        <w:rPr>
          <w:rFonts w:cs="Calibri Light"/>
          <w:color w:val="0D0D0D"/>
        </w:rPr>
      </w:pPr>
      <w:r>
        <w:rPr>
          <w:rFonts w:cs="Calibri Light"/>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093"/>
        <w:gridCol w:w="3118"/>
        <w:gridCol w:w="1985"/>
        <w:gridCol w:w="2834"/>
      </w:tblGrid>
      <w:tr>
        <w:trPr>
          <w:trHeight w:val="553" w:hRule="atLeast"/>
        </w:trPr>
        <w:tc>
          <w:tcPr>
            <w:tcW w:w="209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Nom du sous-traitant </w:t>
            </w:r>
          </w:p>
        </w:tc>
        <w:tc>
          <w:tcPr>
            <w:tcW w:w="311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Objet du contrat</w:t>
            </w:r>
          </w:p>
        </w:tc>
        <w:tc>
          <w:tcPr>
            <w:tcW w:w="1985"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Référence du contrat </w:t>
            </w:r>
          </w:p>
        </w:tc>
        <w:tc>
          <w:tcPr>
            <w:tcW w:w="283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before="0" w:after="16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Conformité </w:t>
            </w:r>
          </w:p>
        </w:tc>
      </w:tr>
      <w:tr>
        <w:trPr>
          <w:trHeight w:val="638" w:hRule="atLeast"/>
        </w:trPr>
        <w:tc>
          <w:tcPr>
            <w:tcW w:w="20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28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r>
    </w:tbl>
    <w:p>
      <w:pPr>
        <w:pStyle w:val="Normal"/>
        <w:rPr>
          <w:rFonts w:ascii="Calibri Light" w:hAnsi="Calibri Light" w:cs="Calibri Light"/>
        </w:rPr>
      </w:pPr>
      <w:r>
        <w:rPr>
          <w:rFonts w:cs="Calibri Light" w:ascii="Calibri Light" w:hAnsi="Calibri Light"/>
        </w:rPr>
      </w:r>
    </w:p>
    <w:p>
      <w:pPr>
        <w:pStyle w:val="Titre3"/>
        <w:numPr>
          <w:ilvl w:val="2"/>
          <w:numId w:val="1"/>
        </w:numPr>
        <w:rPr/>
      </w:pPr>
      <w:r>
        <w:rPr/>
        <w:t>3.2.7. Mesures pour le transfert de données en dehors de l’Union européenne</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sz w:val="20"/>
          <w:szCs w:val="20"/>
        </w:rPr>
      </w:pPr>
      <w:r>
        <w:rPr>
          <w:rFonts w:cs="Calibri Light" w:ascii="Calibri Light" w:hAnsi="Calibri Light"/>
          <w:sz w:val="20"/>
          <w:szCs w:val="20"/>
        </w:rPr>
        <w:t>Dans l’hypothèse où il était recouru à un sous-traitant soumis au droit d’un Etat n’appartenant pas à l’Union européenne, impliqué dans un transfert de données à caractère personnel en dehors de l’Union européenne, celui-ci devra respecter les règles et, le cas échéant, les garanties appropriées prévues au « Chapitre V : Transferts de données à caractère personnel vers des pays tiers ou à des organisations internationales » du règlement (UE) 2016/679 du Parlement européen et du Conseil du 27 avril 2016 relatif à la protection des personnes physiques à l'égard du traitement des données à caractère personnel et à la libre circulation de ces données</w:t>
      </w:r>
    </w:p>
    <w:p>
      <w:pPr>
        <w:pStyle w:val="Titre3"/>
        <w:numPr>
          <w:ilvl w:val="2"/>
          <w:numId w:val="1"/>
        </w:numPr>
        <w:rPr>
          <w:rFonts w:cs="Calibri Light"/>
          <w:b/>
          <w:bCs/>
          <w:color w:val="FFFFFF"/>
        </w:rPr>
      </w:pPr>
      <w:bookmarkStart w:id="44" w:name="__RefHeading___Toc134540991"/>
      <w:bookmarkEnd w:id="44"/>
      <w:r>
        <w:rPr>
          <w:rFonts w:cs="Calibri Light"/>
          <w:b/>
          <w:bCs/>
          <w:color w:val="FFFFFF"/>
        </w:rPr>
        <w:t>3.2.8. Evaluation des mesures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614"/>
        <w:gridCol w:w="3439"/>
        <w:gridCol w:w="2978"/>
      </w:tblGrid>
      <w:tr>
        <w:trPr/>
        <w:tc>
          <w:tcPr>
            <w:tcW w:w="361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before="0" w:after="160"/>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protectrices des droits des personnes concernées </w:t>
            </w:r>
          </w:p>
        </w:tc>
        <w:tc>
          <w:tcPr>
            <w:tcW w:w="3439"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Acceptable / Améliorable ?</w:t>
            </w:r>
          </w:p>
        </w:tc>
        <w:tc>
          <w:tcPr>
            <w:tcW w:w="297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Information des personnes concernées (traitement loyal et transparent) </w:t>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Acceptable</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Recueil du consentement </w:t>
            </w:r>
          </w:p>
          <w:p>
            <w:pPr>
              <w:pStyle w:val="Normal"/>
              <w:widowControl w:val="false"/>
              <w:spacing w:before="0" w:after="0"/>
              <w:rPr>
                <w:rFonts w:ascii="Calibri Light" w:hAnsi="Calibri Light" w:cs="Calibri Light"/>
                <w:b/>
                <w:bCs/>
                <w:sz w:val="20"/>
                <w:szCs w:val="20"/>
              </w:rPr>
            </w:pPr>
            <w:r>
              <w:rPr>
                <w:rFonts w:cs="Calibri Light" w:ascii="Calibri Light" w:hAnsi="Calibri Light"/>
                <w:b/>
                <w:bCs/>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Non applicable</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Exercice des droits d’accès et à la portabilité </w:t>
            </w:r>
          </w:p>
          <w:p>
            <w:pPr>
              <w:pStyle w:val="Normal"/>
              <w:widowControl w:val="false"/>
              <w:spacing w:lineRule="auto" w:line="240" w:before="0" w:after="0"/>
              <w:rPr>
                <w:rFonts w:ascii="Calibri Light" w:hAnsi="Calibri Light" w:cs="Calibri Light"/>
                <w:bCs/>
                <w:color w:val="0D0D0D"/>
                <w:sz w:val="20"/>
                <w:szCs w:val="20"/>
              </w:rPr>
            </w:pPr>
            <w:r>
              <w:rPr>
                <w:rFonts w:cs="Calibri Light" w:ascii="Calibri Light" w:hAnsi="Calibri Light"/>
                <w:bCs/>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d'accès : Acceptable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à la portabilité : non applicable</w:t>
            </w:r>
          </w:p>
          <w:p>
            <w:pPr>
              <w:pStyle w:val="Normal"/>
              <w:widowControl w:val="false"/>
              <w:snapToGrid w:val="false"/>
              <w:spacing w:before="0" w:after="0"/>
              <w:jc w:val="center"/>
              <w:rPr>
                <w:rFonts w:ascii="Calibri Light" w:hAnsi="Calibri Light" w:eastAsia="Calibri Light" w:cs="Calibri Light"/>
                <w:sz w:val="20"/>
                <w:szCs w:val="20"/>
              </w:rPr>
            </w:pPr>
            <w:r>
              <w:rPr>
                <w:rFonts w:eastAsia="Calibri Light" w:cs="Calibri Light" w:ascii="Calibri Light" w:hAnsi="Calibri Light"/>
                <w:sz w:val="20"/>
                <w:szCs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Exercice des droits de rectification et d’effacement </w:t>
            </w:r>
          </w:p>
          <w:p>
            <w:pPr>
              <w:pStyle w:val="Normal"/>
              <w:widowControl w:val="false"/>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widowControl w:val="false"/>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t>Droit de rectification :  acceptable</w:t>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pPr>
            <w:r>
              <w:rPr>
                <w:rFonts w:cs="Calibri Light" w:ascii="Calibri Light" w:hAnsi="Calibri Light"/>
                <w:sz w:val="20"/>
                <w:szCs w:val="20"/>
              </w:rPr>
              <w:t xml:space="preserve">Droit d’effacement : </w:t>
            </w:r>
            <w:r>
              <w:rPr>
                <w:rFonts w:cs="Calibri Light" w:ascii="Calibri Light" w:hAnsi="Calibri Light"/>
                <w:bCs/>
                <w:sz w:val="20"/>
                <w:szCs w:val="20"/>
              </w:rPr>
              <w:t>Acceptable</w:t>
            </w:r>
            <w:r>
              <w:rPr>
                <w:rFonts w:cs="Calibri Light" w:ascii="Calibri Light" w:hAnsi="Calibri Light"/>
                <w:b/>
                <w:bCs/>
                <w:sz w:val="20"/>
                <w:szCs w:val="20"/>
              </w:rPr>
              <w:t> </w:t>
            </w:r>
            <w:r>
              <w:rPr>
                <w:rFonts w:cs="Calibri Light" w:ascii="Calibri Light" w:hAnsi="Calibri Light"/>
                <w:sz w:val="20"/>
                <w:szCs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
                <w:sz w:val="20"/>
                <w:szCs w:val="20"/>
              </w:rPr>
            </w:pPr>
            <w:r>
              <w:rPr>
                <w:rFonts w:cs="Calibri Light" w:ascii="Calibri Light" w:hAnsi="Calibri Light"/>
                <w:b/>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Exercice des droits à la limitation du traitement et d’opposition.</w:t>
            </w:r>
          </w:p>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r>
          </w:p>
          <w:p>
            <w:pPr>
              <w:pStyle w:val="Normal"/>
              <w:widowControl w:val="false"/>
              <w:spacing w:before="0" w:after="0"/>
              <w:rPr>
                <w:rFonts w:ascii="Calibri Light" w:hAnsi="Calibri Light" w:cs="Calibri Light"/>
                <w:b/>
                <w:bCs/>
                <w:color w:val="0D0D0D"/>
                <w:sz w:val="20"/>
                <w:szCs w:val="20"/>
              </w:rPr>
            </w:pPr>
            <w:r>
              <w:rPr>
                <w:rFonts w:cs="Calibri Light" w:ascii="Calibri Light" w:hAnsi="Calibri Light"/>
                <w:b/>
                <w:bCs/>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d’opposition :  non applicable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pPr>
            <w:r>
              <w:rPr>
                <w:rFonts w:eastAsia="Calibri Light" w:cs="Calibri Light" w:ascii="Calibri Light" w:hAnsi="Calibri Light"/>
                <w:sz w:val="20"/>
                <w:szCs w:val="20"/>
              </w:rPr>
              <w:t xml:space="preserve"> </w:t>
            </w:r>
            <w:r>
              <w:rPr>
                <w:rFonts w:cs="Calibri Light" w:ascii="Calibri Light" w:hAnsi="Calibri Light"/>
                <w:sz w:val="20"/>
                <w:szCs w:val="20"/>
              </w:rPr>
              <w:t xml:space="preserve">Droit à la limitation : </w:t>
            </w:r>
            <w:r>
              <w:rPr>
                <w:rFonts w:cs="Calibri Light" w:ascii="Calibri Light" w:hAnsi="Calibri Light"/>
                <w:bCs/>
                <w:sz w:val="20"/>
                <w:szCs w:val="20"/>
              </w:rPr>
              <w:t>Acceptable</w:t>
            </w:r>
            <w:r>
              <w:rPr>
                <w:rFonts w:cs="Calibri Light" w:ascii="Calibri Light" w:hAnsi="Calibri Light"/>
                <w:b/>
                <w:bCs/>
                <w:sz w:val="20"/>
                <w:szCs w:val="20"/>
              </w:rPr>
              <w:t>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[Sous-traitance : identifiée et contractualisée]</w:t>
            </w:r>
          </w:p>
        </w:tc>
        <w:tc>
          <w:tcPr>
            <w:tcW w:w="34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jc w:val="center"/>
              <w:rPr/>
            </w:pPr>
            <w:r>
              <w:rPr>
                <w:rFonts w:cs="Calibri Light" w:ascii="Calibri Light" w:hAnsi="Calibri Light"/>
                <w:bCs/>
                <w:sz w:val="20"/>
                <w:szCs w:val="20"/>
                <w:highlight w:val="yellow"/>
              </w:rPr>
              <w:t>Acceptable/Améliorable/non applicable</w:t>
            </w:r>
            <w:r>
              <w:rPr>
                <w:rFonts w:cs="Calibri Light" w:ascii="Calibri Light" w:hAnsi="Calibri Light"/>
                <w:b/>
                <w:bCs/>
                <w:sz w:val="20"/>
                <w:szCs w:val="20"/>
              </w:rPr>
              <w:t> </w:t>
            </w:r>
          </w:p>
        </w:tc>
        <w:tc>
          <w:tcPr>
            <w:tcW w:w="29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r>
          </w:p>
        </w:tc>
      </w:tr>
    </w:tbl>
    <w:p>
      <w:pPr>
        <w:pStyle w:val="Normal"/>
        <w:spacing w:lineRule="auto" w:line="240" w:before="0" w:after="0"/>
        <w:rPr>
          <w:sz w:val="20"/>
          <w:szCs w:val="20"/>
          <w:lang w:eastAsia="fr-FR"/>
        </w:rPr>
      </w:pPr>
      <w:r>
        <w:rPr>
          <w:sz w:val="20"/>
          <w:szCs w:val="20"/>
          <w:lang w:eastAsia="fr-FR"/>
        </w:rPr>
      </w:r>
    </w:p>
    <w:p>
      <w:pPr>
        <w:pStyle w:val="Normal"/>
        <w:spacing w:lineRule="auto" w:line="240" w:before="0" w:after="0"/>
        <w:rPr>
          <w:sz w:val="20"/>
          <w:szCs w:val="20"/>
          <w:lang w:eastAsia="fr-FR"/>
        </w:rPr>
      </w:pPr>
      <w:r>
        <w:rPr>
          <w:sz w:val="20"/>
          <w:szCs w:val="20"/>
          <w:lang w:eastAsia="fr-FR"/>
        </w:rPr>
      </w:r>
    </w:p>
    <w:p>
      <w:pPr>
        <w:pStyle w:val="Titre1"/>
        <w:numPr>
          <w:ilvl w:val="0"/>
          <w:numId w:val="1"/>
        </w:numPr>
        <w:rPr/>
      </w:pPr>
      <w:bookmarkStart w:id="45" w:name="__RefHeading___Toc134540992"/>
      <w:bookmarkEnd w:id="45"/>
      <w:r>
        <w:rPr/>
        <w:t>4. Etude des risques liés à la sécurité des données</w:t>
      </w:r>
    </w:p>
    <w:p>
      <w:pPr>
        <w:pStyle w:val="Titre2"/>
        <w:numPr>
          <w:ilvl w:val="1"/>
          <w:numId w:val="1"/>
        </w:numPr>
        <w:rPr/>
      </w:pPr>
      <w:bookmarkStart w:id="46" w:name="__RefHeading___Toc134540993"/>
      <w:bookmarkEnd w:id="46"/>
      <w:r>
        <w:rPr/>
        <w:t>4.1. Évaluation des mesures</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sz w:val="20"/>
          <w:szCs w:val="20"/>
        </w:rPr>
      </w:pPr>
      <w:r>
        <w:rPr>
          <w:rFonts w:cs="Calibri Light" w:ascii="Calibri Light" w:hAnsi="Calibri Light"/>
          <w:sz w:val="20"/>
          <w:szCs w:val="20"/>
        </w:rPr>
        <w:t>Le responsable de traitement devra mettre en œuvre des mesures techniques et organisationnelles appropriées afin de garantir un niveau de sécurité adapté au risque.</w:t>
      </w:r>
    </w:p>
    <w:p>
      <w:pPr>
        <w:pStyle w:val="Titre3"/>
        <w:numPr>
          <w:ilvl w:val="2"/>
          <w:numId w:val="1"/>
        </w:numPr>
        <w:shd w:val="clear" w:color="auto" w:fill="FFFFFF"/>
        <w:rPr>
          <w:rFonts w:cs="Arial"/>
          <w:color w:val="0D0D0D"/>
        </w:rPr>
      </w:pPr>
      <w:bookmarkStart w:id="47" w:name="__RefHeading___Toc134540994"/>
      <w:bookmarkEnd w:id="47"/>
      <w:r>
        <w:rPr>
          <w:rFonts w:cs="Arial"/>
          <w:color w:val="0D0D0D"/>
        </w:rPr>
        <w:t xml:space="preserve">4.1.1. Mesures contribuant à traiter des risques liés à la sécurité des données </w:t>
      </w:r>
    </w:p>
    <w:p>
      <w:pPr>
        <w:pStyle w:val="Normal"/>
        <w:rPr>
          <w:rFonts w:cs="Arial"/>
          <w:color w:val="0D0D0D"/>
        </w:rPr>
      </w:pPr>
      <w:r>
        <w:rPr>
          <w:rFonts w:cs="Arial"/>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12"/>
        <w:gridCol w:w="4574"/>
        <w:gridCol w:w="1276"/>
        <w:gridCol w:w="2268"/>
      </w:tblGrid>
      <w:tr>
        <w:trPr/>
        <w:tc>
          <w:tcPr>
            <w:tcW w:w="191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Mesures générales de sécurité</w:t>
            </w:r>
          </w:p>
        </w:tc>
        <w:tc>
          <w:tcPr>
            <w:tcW w:w="457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Modalités de mise en œuvre</w:t>
            </w:r>
          </w:p>
        </w:tc>
        <w:tc>
          <w:tcPr>
            <w:tcW w:w="127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Acceptable / améliorable</w:t>
            </w:r>
          </w:p>
        </w:tc>
        <w:tc>
          <w:tcPr>
            <w:tcW w:w="22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Si améliorable, mesures prévues dans le plan d’action</w:t>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Chiffrement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sz w:val="20"/>
                <w:szCs w:val="20"/>
              </w:rPr>
            </w:pPr>
            <w:commentRangeStart w:id="0"/>
            <w:r>
              <w:rPr>
                <w:rFonts w:cs="Calibri Light" w:ascii="Calibri Light" w:hAnsi="Calibri Light"/>
                <w:sz w:val="20"/>
                <w:szCs w:val="20"/>
              </w:rPr>
              <w:t xml:space="preserve">Les systèmes commercialisés prévoient des enregistrements chiffrés. Il existe plusieurs modes de cryptage en fonction du choix effectué par le responsable de traitement mais ce dernier devra prévoir a minima un chiffrement conforme à l’état de l’art. Seul l’administrateur du système a les clefs du chiffrement pour les relectures et extractions. </w:t>
            </w:r>
          </w:p>
          <w:p>
            <w:pPr>
              <w:pStyle w:val="Normal"/>
              <w:widowControl w:val="false"/>
              <w:rPr>
                <w:rFonts w:ascii="Calibri Light" w:hAnsi="Calibri Light" w:cs="Calibri Light"/>
                <w:sz w:val="20"/>
                <w:szCs w:val="20"/>
              </w:rPr>
            </w:pPr>
            <w:r>
              <w:rPr>
                <w:rFonts w:cs="Calibri Light" w:ascii="Calibri Light" w:hAnsi="Calibri Light"/>
                <w:sz w:val="20"/>
                <w:szCs w:val="20"/>
              </w:rPr>
              <w:t xml:space="preserve">Chaque responsable de traitement devra faire en sorte de vérifier que le procédé de chiffrement permettra de contribuer à lutter contre la suppression des enregistrements sur les caméras elles-mêmes et dans les serveurs.  </w:t>
            </w:r>
            <w:commentRangeEnd w:id="0"/>
            <w:r>
              <w:commentReference w:id="0"/>
            </w:r>
            <w:r>
              <w:rPr>
                <w:rFonts w:cs="Calibri Light" w:ascii="Calibri Light" w:hAnsi="Calibri Light"/>
                <w:sz w:val="20"/>
                <w:szCs w:val="20"/>
              </w:rPr>
            </w:r>
          </w:p>
          <w:p>
            <w:pPr>
              <w:pStyle w:val="Normal"/>
              <w:widowControl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Cloisonnement des données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1"/>
            <w:r>
              <w:rPr>
                <w:rFonts w:cs="Calibri Light" w:ascii="Calibri Light" w:hAnsi="Calibri Light"/>
                <w:color w:val="0D0D0D"/>
                <w:sz w:val="20"/>
                <w:szCs w:val="20"/>
              </w:rPr>
              <w:t>Pour la grande majorité des dispositifs de vidéoprotection, aucune connexion au réseau Internet n’est réalisée, afin d’éviter tout piratage des images collectées.</w:t>
            </w:r>
            <w:commentRangeEnd w:id="1"/>
            <w:r>
              <w:commentReference w:id="1"/>
            </w:r>
            <w:r>
              <w:rPr>
                <w:rFonts w:cs="Calibri Light" w:ascii="Calibri Light" w:hAnsi="Calibri Light"/>
                <w:color w:val="0D0D0D"/>
                <w:sz w:val="20"/>
                <w:szCs w:val="20"/>
              </w:rPr>
            </w:r>
          </w:p>
          <w:p>
            <w:pPr>
              <w:pStyle w:val="Normal"/>
              <w:widowControl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bCs/>
                <w:sz w:val="20"/>
                <w:szCs w:val="20"/>
              </w:rPr>
            </w:pPr>
            <w:r>
              <w:rPr>
                <w:rFonts w:cs="Calibri Light" w:ascii="Calibri Light" w:hAnsi="Calibri Light"/>
                <w:bCs/>
                <w:sz w:val="20"/>
                <w:szCs w:val="20"/>
              </w:rPr>
              <w:t>Sécurité physique</w:t>
            </w:r>
          </w:p>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2"/>
            <w:r>
              <w:rPr>
                <w:rFonts w:cs="Calibri Light" w:ascii="Calibri Light" w:hAnsi="Calibri Light"/>
                <w:color w:val="0D0D0D"/>
                <w:sz w:val="20"/>
                <w:szCs w:val="20"/>
              </w:rPr>
              <w:t>Les locaux où sont enregistrées les images font l’objet d’un contrôle d’accès (soit accès par badge, par code ou clé conservée par le responsable, soit local sous alarme). Ces locaux ne sont accessibles qu’aux personnes autorisées à visionner les images au sens du I. de l’article R. 253-3 du code de la sécurité intérieure.</w:t>
            </w:r>
            <w:commentRangeEnd w:id="2"/>
            <w:r>
              <w:commentReference w:id="2"/>
            </w:r>
            <w:r>
              <w:rPr>
                <w:rFonts w:cs="Calibri Light" w:ascii="Calibri Light" w:hAnsi="Calibri Light"/>
                <w:color w:val="0D0D0D"/>
                <w:sz w:val="20"/>
                <w:szCs w:val="20"/>
              </w:rPr>
            </w:r>
          </w:p>
          <w:p>
            <w:pPr>
              <w:pStyle w:val="Normal"/>
              <w:widowControl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Contrôle des accès logiques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color w:val="0D0D0D"/>
                <w:sz w:val="20"/>
                <w:szCs w:val="20"/>
              </w:rPr>
            </w:pPr>
            <w:commentRangeStart w:id="3"/>
            <w:r>
              <w:rPr>
                <w:rFonts w:cs="Calibri Light" w:ascii="Calibri Light" w:hAnsi="Calibri Light"/>
                <w:color w:val="0D0D0D"/>
                <w:sz w:val="20"/>
                <w:szCs w:val="20"/>
              </w:rPr>
              <w:t xml:space="preserve">Il n’est possible d’accéder aux données qu’après une authentification. </w:t>
            </w:r>
            <w:commentRangeEnd w:id="3"/>
            <w:r>
              <w:commentReference w:id="3"/>
            </w: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Journalisation</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color w:val="000000"/>
                <w:sz w:val="20"/>
              </w:rPr>
            </w:pPr>
            <w:r>
              <w:rPr>
                <w:rFonts w:cs="Calibri Light" w:ascii="Calibri Light" w:hAnsi="Calibri Light"/>
                <w:color w:val="000000"/>
                <w:sz w:val="20"/>
              </w:rPr>
              <w:t xml:space="preserve">Les opérations de collecte, de modification, de consultation, de communication et d’effacement des données à caractère personnel font l’objet d’un enregistrement comprenant l’identifiant de l’auteur, la date, l’heure, le motif de l’opération et, le cas échéant, les destinataires des données. Ces informations sont conservées pendant 3 ans maximum.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highlight w:val="yellow"/>
              </w:rPr>
            </w:pPr>
            <w:r>
              <w:rPr>
                <w:rFonts w:cs="Calibri Light" w:ascii="Calibri Light" w:hAnsi="Calibri Light"/>
                <w:bCs/>
                <w:sz w:val="20"/>
                <w:szCs w:val="20"/>
                <w:highlight w:val="yellow"/>
              </w:rPr>
              <w:t>Pseudonymisation</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Archivage</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sz w:val="20"/>
                <w:szCs w:val="20"/>
              </w:rPr>
            </w:pPr>
            <w:r>
              <w:rPr>
                <w:rFonts w:cs="Calibri Light" w:ascii="Calibri Light" w:hAnsi="Calibri Light"/>
                <w:sz w:val="20"/>
                <w:szCs w:val="20"/>
              </w:rPr>
              <w:t>[Définir l'ensemble des modalités de conservation et gestion d'archives électroniques contenant des données à caractère personnel destinées à garantir leur valeur, notamment juridique, pendant toute la durée nécessaire (versement, stockage, migration, accessibilité, élimination, politique d'archivage, protection de la confidentialité, etc.)]</w:t>
            </w:r>
          </w:p>
          <w:p>
            <w:pPr>
              <w:pStyle w:val="Normal"/>
              <w:widowControl w:val="false"/>
              <w:spacing w:before="0" w:after="160"/>
              <w:rPr/>
            </w:pPr>
            <w:r>
              <w:rPr>
                <w:rFonts w:cs="Calibri Light" w:ascii="Calibri Light" w:hAnsi="Calibri Light"/>
                <w:sz w:val="20"/>
                <w:szCs w:val="20"/>
              </w:rPr>
              <w:t>Il doit se conformer aux exigences de l’arrêté définissant les normes techniques prévu à l’article L. 252-4 du code de la sécurité intérieure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r>
    </w:tbl>
    <w:p>
      <w:pPr>
        <w:pStyle w:val="Titre3"/>
        <w:numPr>
          <w:ilvl w:val="2"/>
          <w:numId w:val="1"/>
        </w:numPr>
        <w:shd w:val="clear" w:color="auto" w:fill="FFFFFF"/>
        <w:rPr>
          <w:rFonts w:cs="Arial"/>
          <w:color w:val="0D0D0D"/>
        </w:rPr>
      </w:pPr>
      <w:r>
        <w:rPr>
          <w:rFonts w:cs="Arial"/>
          <w:color w:val="0D0D0D"/>
        </w:rPr>
        <w:t xml:space="preserve">4.1.2. Mesures générales de sécurité </w:t>
      </w:r>
    </w:p>
    <w:p>
      <w:pPr>
        <w:pStyle w:val="Normal"/>
        <w:rPr>
          <w:rFonts w:cs="Arial"/>
          <w:color w:val="0D0D0D"/>
        </w:rPr>
      </w:pPr>
      <w:r>
        <w:rPr>
          <w:rFonts w:cs="Arial"/>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12"/>
        <w:gridCol w:w="4574"/>
        <w:gridCol w:w="1276"/>
        <w:gridCol w:w="2268"/>
      </w:tblGrid>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 l’exploitation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Les mises à jour des systèmes et logiciels sont assurés par l’administrateur. Les gestionnaires sont clairement identifiés et formés.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Lutte contre les logiciels malveillants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commentRangeStart w:id="4"/>
            <w:r>
              <w:rPr>
                <w:rFonts w:cs="Calibri Light" w:ascii="Calibri Light" w:hAnsi="Calibri Light"/>
                <w:sz w:val="20"/>
                <w:szCs w:val="20"/>
              </w:rPr>
              <w:t>La lutte contre les logiciels malveillants est garantie par le fait que le serveur où les images sont enregistrées est hors réseau.</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En particulier, il est recommandé d’installer un antivirus sur les serveurs et postes de travail, de le configurer et de tenir à jour les logiciels antivirus, de mettre en œuvre des mesures de filtrage des flux et de faire remonter les événements de sécurité de l’antivirus.</w:t>
            </w:r>
          </w:p>
          <w:p>
            <w:pPr>
              <w:pStyle w:val="Normal"/>
              <w:widowControl w:val="false"/>
              <w:spacing w:before="0" w:after="0"/>
              <w:rPr/>
            </w:pPr>
            <w:r>
              <w:rPr>
                <w:rFonts w:cs="Calibri Light" w:ascii="Calibri Light" w:hAnsi="Calibri Light"/>
                <w:sz w:val="20"/>
                <w:szCs w:val="20"/>
              </w:rPr>
              <w:t xml:space="preserve">Il est également recommandé d’installer un programme de lutte contre les logiciels espions sur les postes de travail, le configurer et le tenir à jour. </w:t>
            </w:r>
            <w:commentRangeEnd w:id="4"/>
            <w:r>
              <w:commentReference w:id="4"/>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Mot de passe </w:t>
            </w:r>
          </w:p>
        </w:tc>
        <w:tc>
          <w:tcPr>
            <w:tcW w:w="4574" w:type="dxa"/>
            <w:tcBorders>
              <w:top w:val="single" w:sz="4" w:space="0" w:color="000000"/>
              <w:left w:val="single" w:sz="4" w:space="0" w:color="000000"/>
              <w:bottom w:val="single" w:sz="4" w:space="0" w:color="000000"/>
              <w:right w:val="single" w:sz="4" w:space="0" w:color="000000"/>
            </w:tcBorders>
          </w:tcPr>
          <w:p>
            <w:pPr>
              <w:pStyle w:val="Western"/>
              <w:widowControl w:val="false"/>
              <w:shd w:val="clear" w:color="auto" w:fill="FFFFFF"/>
              <w:spacing w:before="0" w:after="0"/>
              <w:rPr>
                <w:rFonts w:ascii="Calibri Light" w:hAnsi="Calibri Light" w:cs="Calibri Light"/>
                <w:sz w:val="20"/>
                <w:szCs w:val="20"/>
              </w:rPr>
            </w:pPr>
            <w:r>
              <w:rPr>
                <w:rFonts w:cs="Calibri Light" w:ascii="Calibri Light" w:hAnsi="Calibri Light"/>
                <w:sz w:val="20"/>
                <w:szCs w:val="20"/>
              </w:rPr>
              <w:t xml:space="preserve">Il n’est possible d’accéder aux données qu’après une authentification qui s’effectue par le biais de mots de passe individualisés avec un contrôle des logs de connexion. </w:t>
            </w:r>
          </w:p>
          <w:p>
            <w:pPr>
              <w:pStyle w:val="Western"/>
              <w:widowControl w:val="false"/>
              <w:shd w:val="clear" w:color="auto" w:fill="FFFFFF"/>
              <w:spacing w:before="0" w:after="0"/>
              <w:rPr>
                <w:rFonts w:ascii="Calibri Light" w:hAnsi="Calibri Light" w:cs="Calibri Light"/>
                <w:sz w:val="20"/>
                <w:szCs w:val="20"/>
              </w:rPr>
            </w:pPr>
            <w:commentRangeStart w:id="5"/>
            <w:r>
              <w:rPr>
                <w:rFonts w:cs="Calibri Light" w:ascii="Calibri Light" w:hAnsi="Calibri Light"/>
                <w:sz w:val="20"/>
                <w:szCs w:val="20"/>
              </w:rPr>
              <w:t>La politique de mot de passe pour accéder aux  données est conforme à la délibération n° 2022-100 du 21 juillet 2022 de la CNIL</w:t>
            </w:r>
            <w:commentRangeEnd w:id="5"/>
            <w:r>
              <w:commentReference w:id="5"/>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des sites web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6"/>
            <w:r>
              <w:rPr>
                <w:rFonts w:cs="Calibri Light" w:ascii="Calibri Light" w:hAnsi="Calibri Light"/>
                <w:color w:val="0D0D0D"/>
                <w:sz w:val="20"/>
                <w:szCs w:val="20"/>
              </w:rPr>
              <w:t>Pour la grande majorité des dispositifs de vidéoprotection, aucune connexion au réseau Internet n’est réalisée, afin d’éviter tout piratage des images collectées.</w:t>
            </w:r>
            <w:commentRangeEnd w:id="6"/>
            <w:r>
              <w:commentReference w:id="6"/>
            </w:r>
            <w:r>
              <w:rPr>
                <w:rFonts w:cs="Calibri Light" w:ascii="Calibri Light" w:hAnsi="Calibri Light"/>
                <w:color w:val="0D0D0D"/>
                <w:sz w:val="20"/>
                <w:szCs w:val="20"/>
              </w:rPr>
            </w:r>
          </w:p>
          <w:p>
            <w:pPr>
              <w:pStyle w:val="Normal"/>
              <w:widowControl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 xml:space="preserve">Acceptable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Sauvegarde des logs</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[Préciser si la sauvegarde des logs est cryptée au même niveau de sécurité que la solution en production et efface les contenus au bout de XXXX.]</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lang w:eastAsia="fr-FR"/>
              </w:rPr>
            </w:pPr>
            <w:r>
              <w:rPr>
                <w:rFonts w:cs="Calibri Light" w:ascii="Calibri Light" w:hAnsi="Calibri Light"/>
                <w:sz w:val="20"/>
                <w:szCs w:val="20"/>
                <w:lang w:eastAsia="fr-FR"/>
              </w:rPr>
            </w:r>
          </w:p>
        </w:tc>
      </w:tr>
      <w:tr>
        <w:trPr/>
        <w:tc>
          <w:tcPr>
            <w:tcW w:w="19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Maintenance </w:t>
            </w:r>
          </w:p>
        </w:tc>
        <w:tc>
          <w:tcPr>
            <w:tcW w:w="45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7"/>
            <w:r>
              <w:rPr>
                <w:rFonts w:cs="Calibri Light" w:ascii="Calibri Light" w:hAnsi="Calibri Light"/>
                <w:sz w:val="20"/>
                <w:szCs w:val="20"/>
              </w:rPr>
              <w:t xml:space="preserve">La maintenance est assurée par le fournisseur du dispositif pour remise en service du système en cas de panne ou de dysfonctionnement des enregistrements. Ce dernier n’a pas de droit de déchargement des contenus vidéos. </w:t>
            </w:r>
            <w:commentRangeEnd w:id="7"/>
            <w:r>
              <w:commentReference w:id="7"/>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b/>
                <w:sz w:val="20"/>
                <w:szCs w:val="20"/>
              </w:rPr>
            </w:pPr>
            <w:r>
              <w:rPr>
                <w:rFonts w:cs="Calibri Light" w:ascii="Calibri Light" w:hAnsi="Calibri Light"/>
                <w:b/>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Sécurité des canaux</w:t>
            </w:r>
          </w:p>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informatiques (réseaux)</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La solution est sécurisée dans une zone de commutation distincte par Vlan, le Firewall protège ces zones par l’ouverture des ports strictement nécessaire et fourni les Logs d’accès à cet élément technique des PC ou équipements se connectant à cet équipement. Les logs des firewalls sont conservés trois ans.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456" w:hRule="atLeast"/>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Surveillance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 xml:space="preserve">Contrôle régulier par le responsable de la journalisation, de l’accès aux postes informatiques et de leur utilisation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des matériels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commentRangeStart w:id="8"/>
            <w:r>
              <w:rPr>
                <w:rFonts w:cs="Calibri Light" w:ascii="Calibri Light" w:hAnsi="Calibri Light"/>
                <w:sz w:val="20"/>
                <w:szCs w:val="20"/>
              </w:rPr>
              <w:t>Le serveur de stockage des images est placé dans un local dédié sous contrôle d’accès physique.</w:t>
            </w:r>
            <w:commentRangeEnd w:id="8"/>
            <w:r>
              <w:commentReference w:id="8"/>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P"/>
        <w:rPr>
          <w:rFonts w:ascii="Calibri Light" w:hAnsi="Calibri Light" w:cs="Calibri Light"/>
        </w:rPr>
      </w:pPr>
      <w:r>
        <w:rPr>
          <w:rFonts w:cs="Calibri Light" w:ascii="Calibri Light" w:hAnsi="Calibri Light"/>
        </w:rPr>
      </w:r>
    </w:p>
    <w:p>
      <w:pPr>
        <w:pStyle w:val="P"/>
        <w:rPr>
          <w:rFonts w:ascii="Calibri Light" w:hAnsi="Calibri Light" w:cs="Calibri Light"/>
        </w:rPr>
      </w:pPr>
      <w:r>
        <w:rPr>
          <w:rFonts w:cs="Calibri Light" w:ascii="Calibri Light" w:hAnsi="Calibri Light"/>
        </w:rPr>
      </w:r>
    </w:p>
    <w:p>
      <w:pPr>
        <w:pStyle w:val="Titre3"/>
        <w:numPr>
          <w:ilvl w:val="2"/>
          <w:numId w:val="1"/>
        </w:numPr>
        <w:rPr>
          <w:rFonts w:cs="Calibri Light"/>
          <w:b/>
          <w:bCs/>
          <w:color w:val="FFFFFF"/>
        </w:rPr>
      </w:pPr>
      <w:bookmarkStart w:id="48" w:name="__RefHeading___Toc134540995"/>
      <w:bookmarkEnd w:id="48"/>
      <w:r>
        <w:rPr>
          <w:rFonts w:cs="Calibri Light"/>
          <w:b/>
          <w:bCs/>
          <w:color w:val="FFFFFF"/>
        </w:rPr>
        <w:t>4.1.3. Mesures organisationnelles (gouvernance)</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766"/>
        <w:gridCol w:w="4651"/>
        <w:gridCol w:w="1277"/>
        <w:gridCol w:w="2336"/>
      </w:tblGrid>
      <w:tr>
        <w:trPr/>
        <w:tc>
          <w:tcPr>
            <w:tcW w:w="176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Mesures générales de sécurité</w:t>
            </w:r>
          </w:p>
        </w:tc>
        <w:tc>
          <w:tcPr>
            <w:tcW w:w="46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Modalités de mise en œuvre</w:t>
            </w:r>
          </w:p>
        </w:tc>
        <w:tc>
          <w:tcPr>
            <w:tcW w:w="1277"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Acceptable / améliorable</w:t>
            </w:r>
          </w:p>
        </w:tc>
        <w:tc>
          <w:tcPr>
            <w:tcW w:w="233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Organisation </w:t>
            </w:r>
          </w:p>
        </w:tc>
        <w:tc>
          <w:tcPr>
            <w:tcW w:w="4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Chaque responsable de traitement définit son organisation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chef de service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sécurité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juridique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technique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délégué à la protection des données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numéro d’urgence pour l’accès aux images- ;</w:t>
            </w:r>
          </w:p>
          <w:p>
            <w:pPr>
              <w:pStyle w:val="Normal"/>
              <w:widowControl w:val="false"/>
              <w:spacing w:before="0" w:after="0"/>
              <w:rPr/>
            </w:pPr>
            <w:r>
              <w:rPr>
                <w:rFonts w:eastAsia="Calibri Light" w:cs="Calibri Light" w:ascii="Calibri Light" w:hAnsi="Calibri Light"/>
                <w:sz w:val="20"/>
                <w:szCs w:val="20"/>
                <w:highlight w:val="yellow"/>
              </w:rPr>
              <w:t xml:space="preserve"> </w:t>
            </w:r>
            <w:r>
              <w:rPr>
                <w:rFonts w:cs="Calibri Light" w:ascii="Calibri Light" w:hAnsi="Calibri Light"/>
                <w:sz w:val="20"/>
                <w:szCs w:val="20"/>
                <w:highlight w:val="yellow"/>
              </w:rPr>
              <w:t>règlement intérieur ;</w:t>
            </w:r>
          </w:p>
          <w:p>
            <w:pPr>
              <w:pStyle w:val="Normal"/>
              <w:widowControl w:val="false"/>
              <w:spacing w:before="0" w:after="0"/>
              <w:rPr/>
            </w:pPr>
            <w:r>
              <w:rPr>
                <w:rFonts w:cs="Calibri Light" w:ascii="Calibri Light" w:hAnsi="Calibri Light"/>
                <w:sz w:val="20"/>
                <w:szCs w:val="20"/>
                <w:highlight w:val="yellow"/>
              </w:rPr>
              <w:t>- convention de partenariat avec les FSI</w:t>
            </w:r>
            <w:r>
              <w:rPr>
                <w:highlight w:val="yellow"/>
              </w:rPr>
              <w:t>[</w:t>
            </w:r>
            <w:r>
              <w:rPr>
                <w:rFonts w:cs="Calibri Light" w:ascii="Calibri Light" w:hAnsi="Calibri Light"/>
                <w:sz w:val="20"/>
                <w:szCs w:val="20"/>
                <w:highlight w:val="yellow"/>
              </w:rPr>
              <w:t>…]</w:t>
            </w:r>
          </w:p>
          <w:p>
            <w:pPr>
              <w:pStyle w:val="Normal"/>
              <w:widowControl w:val="false"/>
              <w:shd w:val="clear" w:color="auto" w:fill="FFFF00"/>
              <w:spacing w:before="0" w:after="0"/>
              <w:rPr>
                <w:rFonts w:ascii="Calibri Light" w:hAnsi="Calibri Light" w:cs="Calibri Light"/>
                <w:b/>
                <w:color w:val="0D0D0D"/>
                <w:sz w:val="20"/>
                <w:szCs w:val="20"/>
              </w:rPr>
            </w:pPr>
            <w:r>
              <w:rPr>
                <w:rFonts w:cs="Calibri Light" w:ascii="Calibri Light" w:hAnsi="Calibri Light"/>
                <w:b/>
                <w:color w:val="0D0D0D"/>
                <w:sz w:val="20"/>
                <w:szCs w:val="20"/>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Politique (gestion des règles) </w:t>
            </w:r>
          </w:p>
        </w:tc>
        <w:tc>
          <w:tcPr>
            <w:tcW w:w="4651" w:type="dxa"/>
            <w:tcBorders>
              <w:top w:val="single" w:sz="4" w:space="0" w:color="000000"/>
              <w:left w:val="single" w:sz="4" w:space="0" w:color="000000"/>
              <w:bottom w:val="single" w:sz="4" w:space="0" w:color="000000"/>
              <w:right w:val="single" w:sz="4" w:space="0" w:color="000000"/>
            </w:tcBorders>
          </w:tcPr>
          <w:p>
            <w:pPr>
              <w:pStyle w:val="Paragraphedeliste2"/>
              <w:widowControl w:val="false"/>
              <w:spacing w:lineRule="auto" w:line="240"/>
              <w:ind w:left="0" w:hanging="0"/>
              <w:rPr/>
            </w:pPr>
            <w:commentRangeStart w:id="9"/>
            <w:r>
              <w:rPr>
                <w:rFonts w:cs="Calibri Light" w:ascii="Calibri Light" w:hAnsi="Calibri Light"/>
                <w:color w:val="0D0D0D"/>
                <w:sz w:val="20"/>
              </w:rPr>
              <w:t xml:space="preserve">Formation, charte informatique, règles de gestion des habilitations des administrateur, agents habilités et leurs profils </w:t>
            </w:r>
            <w:commentRangeEnd w:id="9"/>
            <w:r>
              <w:commentReference w:id="9"/>
            </w:r>
            <w:r>
              <w:rPr>
                <w:rFonts w:cs="Calibri Light" w:ascii="Calibri Light" w:hAnsi="Calibri Light"/>
                <w:color w:val="0D0D0D"/>
                <w:sz w:val="20"/>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lang w:eastAsia="fr-FR"/>
              </w:rPr>
            </w:pPr>
            <w:r>
              <w:rPr>
                <w:rFonts w:cs="Calibri Light" w:ascii="Calibri Light" w:hAnsi="Calibri Light"/>
                <w:sz w:val="20"/>
                <w:szCs w:val="20"/>
                <w:lang w:eastAsia="fr-FR"/>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risques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10"/>
            <w:r>
              <w:rPr>
                <w:rFonts w:cs="Calibri Light" w:ascii="Calibri Light" w:hAnsi="Calibri Light"/>
                <w:sz w:val="20"/>
                <w:szCs w:val="20"/>
              </w:rPr>
              <w:t>Traçabilité des connexions consultables par le biais de la journalisation.</w:t>
              <w:br/>
              <w:t xml:space="preserve">Un plan de prévention ou de gestion des risques peut être prévu par le responsable de traitement. </w:t>
            </w:r>
            <w:commentRangeEnd w:id="10"/>
            <w:r>
              <w:commentReference w:id="10"/>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projets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highlight w:val="yellow"/>
              </w:rPr>
            </w:pPr>
            <w:commentRangeStart w:id="11"/>
            <w:r>
              <w:rPr>
                <w:rFonts w:cs="Calibri Light" w:ascii="Calibri Light" w:hAnsi="Calibri Light"/>
                <w:sz w:val="20"/>
                <w:szCs w:val="20"/>
                <w:highlight w:val="yellow"/>
              </w:rPr>
              <w:t>Le choix du dispositif mis en place relève de chaque responsable de traitement. Il peut être prévu un comité de pilotage intégré au CLSPD, des référents sûreté de la police ou gendarmerie ou encore une aide à la maîtrise d’ouvrage</w:t>
            </w:r>
            <w:commentRangeEnd w:id="11"/>
            <w:r>
              <w:commentReference w:id="11"/>
            </w:r>
            <w:r>
              <w:rPr>
                <w:rFonts w:cs="Calibri Light" w:ascii="Calibri Light" w:hAnsi="Calibri Light"/>
                <w:sz w:val="20"/>
                <w:szCs w:val="20"/>
                <w:highlight w:val="yellow"/>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incidents et des violations de données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Les rôles et responsabilités des parties prenantes ainsi que les procédures de remontées d'informations et de réaction cas de violation de données sont prévues. Une qualification et un traitement adapté des violations de données sont effectués selon leur impact sur les droits et libertés des personnes concernées. </w:t>
            </w:r>
            <w:commentRangeStart w:id="12"/>
            <w:r>
              <w:rPr>
                <w:rFonts w:cs="Calibri Light" w:ascii="Calibri Light" w:hAnsi="Calibri Light"/>
                <w:sz w:val="20"/>
                <w:szCs w:val="20"/>
              </w:rPr>
              <w:t>[Des mesures préventives sont mises en place, se traduisant par une information sur l’utilisation de la caméra, la signature d’une charte d’utilisation ou encore une procédure de remontée d’information en cas de constat de violation de données.</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Un enregistrement au journal de la défaillance constatée et une alerte des agents du dysfonctionnement constaté peut être mis en place.] </w:t>
            </w:r>
            <w:commentRangeEnd w:id="12"/>
            <w:r>
              <w:commentReference w:id="12"/>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personnels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13"/>
            <w:r>
              <w:rPr>
                <w:rFonts w:cs="Calibri Light" w:ascii="Calibri Light" w:hAnsi="Calibri Light"/>
                <w:sz w:val="20"/>
                <w:szCs w:val="20"/>
              </w:rPr>
              <w:t>Les accès aux traitements sont restreints à un nombre limité d’agents qui sont formés à l’usage et l’emploi des dispositifs de vidéoprotection.</w:t>
            </w:r>
            <w:commentRangeEnd w:id="13"/>
            <w:r>
              <w:commentReference w:id="13"/>
            </w: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Relations avec les tiers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[Préciser : convention, relation avec la police, les pompiers etc.]</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964" w:hRule="atLeast"/>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Supervision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pPr>
            <w:commentRangeStart w:id="14"/>
            <w:r>
              <w:rPr>
                <w:rFonts w:cs="Calibri Light" w:ascii="Calibri Light" w:hAnsi="Calibri Light"/>
                <w:sz w:val="20"/>
                <w:szCs w:val="20"/>
              </w:rPr>
              <w:t>Le responsable de traitement veille par des contrôles aux connexions afin de détecter des accès anormaux mais aussi aux éventuels incidents.</w:t>
            </w:r>
            <w:commentRangeEnd w:id="14"/>
            <w:r>
              <w:commentReference w:id="14"/>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sectPr>
          <w:headerReference w:type="default" r:id="rId2"/>
          <w:footerReference w:type="default" r:id="rId3"/>
          <w:type w:val="nextPage"/>
          <w:pgSz w:w="11906" w:h="16838"/>
          <w:pgMar w:left="992" w:right="992" w:gutter="0" w:header="709" w:top="1383" w:footer="289" w:bottom="828"/>
          <w:pgNumType w:fmt="decimal"/>
          <w:formProt w:val="false"/>
          <w:textDirection w:val="lrTb"/>
          <w:docGrid w:type="default" w:linePitch="600" w:charSpace="36864"/>
        </w:sectPr>
      </w:pPr>
    </w:p>
    <w:p>
      <w:pPr>
        <w:pStyle w:val="Titre2"/>
        <w:numPr>
          <w:ilvl w:val="1"/>
          <w:numId w:val="1"/>
        </w:numPr>
        <w:rPr>
          <w:rFonts w:cs="Calibri Light"/>
        </w:rPr>
      </w:pPr>
      <w:bookmarkStart w:id="49" w:name="__RefHeading___Toc134540996"/>
      <w:bookmarkEnd w:id="49"/>
      <w:commentRangeStart w:id="15"/>
      <w:r>
        <w:rPr>
          <w:rFonts w:cs="Calibri Light"/>
        </w:rPr>
        <w:t>4.2. Appréciation des risques : les atteintes potentielles aux droits et libertés des personnes physiques</w:t>
      </w:r>
      <w:commentRangeEnd w:id="15"/>
      <w:r>
        <w:commentReference w:id="15"/>
      </w:r>
      <w:r>
        <w:rPr>
          <w:rFonts w:cs="Calibri Light"/>
        </w:rPr>
      </w:r>
    </w:p>
    <w:p>
      <w:pPr>
        <w:pStyle w:val="Titre3"/>
        <w:numPr>
          <w:ilvl w:val="2"/>
          <w:numId w:val="1"/>
        </w:numPr>
        <w:rPr>
          <w:rFonts w:cs="Calibri Light"/>
          <w:b/>
          <w:bCs/>
          <w:color w:val="FFFFFF"/>
        </w:rPr>
      </w:pPr>
      <w:bookmarkStart w:id="50" w:name="__RefHeading___Toc134540997"/>
      <w:bookmarkEnd w:id="50"/>
      <w:r>
        <w:rPr>
          <w:rFonts w:cs="Calibri Light"/>
          <w:b/>
          <w:bCs/>
          <w:color w:val="FFFFFF"/>
        </w:rPr>
        <w:t>4.2.1. Analyse et estimation des risques</w:t>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1361"/>
        <w:gridCol w:w="2096"/>
        <w:gridCol w:w="1959"/>
        <w:gridCol w:w="2655"/>
        <w:gridCol w:w="2514"/>
        <w:gridCol w:w="1818"/>
        <w:gridCol w:w="2223"/>
      </w:tblGrid>
      <w:tr>
        <w:trPr>
          <w:cantSplit w:val="true"/>
        </w:trPr>
        <w:tc>
          <w:tcPr>
            <w:tcW w:w="136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Risque</w:t>
            </w:r>
          </w:p>
        </w:tc>
        <w:tc>
          <w:tcPr>
            <w:tcW w:w="209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sources de risques</w:t>
            </w:r>
          </w:p>
        </w:tc>
        <w:tc>
          <w:tcPr>
            <w:tcW w:w="1959"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menaces</w:t>
            </w:r>
          </w:p>
        </w:tc>
        <w:tc>
          <w:tcPr>
            <w:tcW w:w="2655"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Principaux impacts potentiels</w:t>
            </w:r>
          </w:p>
        </w:tc>
        <w:tc>
          <w:tcPr>
            <w:tcW w:w="2514"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mesures réduisant la gravité et la vraisemblance</w:t>
            </w:r>
          </w:p>
        </w:tc>
        <w:tc>
          <w:tcPr>
            <w:tcW w:w="1818"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Gravité</w:t>
            </w:r>
          </w:p>
        </w:tc>
        <w:tc>
          <w:tcPr>
            <w:tcW w:w="2223"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Vraisemblance</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Accès illégitime à des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Usurpation ou divulgation de mot de passe</w:t>
            </w:r>
          </w:p>
          <w:p>
            <w:pPr>
              <w:pStyle w:val="Normal"/>
              <w:widowControl w:val="false"/>
              <w:spacing w:lineRule="auto" w:line="240"/>
              <w:rPr/>
            </w:pPr>
            <w:r>
              <w:rPr>
                <w:rFonts w:cs="Calibri Light" w:ascii="Calibri Light" w:hAnsi="Calibri Light"/>
                <w:color w:val="000000"/>
                <w:sz w:val="20"/>
                <w:szCs w:val="20"/>
              </w:rPr>
              <w:t xml:space="preserve">Action interne par un </w:t>
            </w:r>
            <w:r>
              <w:rPr>
                <w:rFonts w:cs="Calibri Light" w:ascii="Calibri Light" w:hAnsi="Calibri Light"/>
                <w:sz w:val="20"/>
              </w:rPr>
              <w:t>personnel Cyberattaque automatisée (virus) ou volontaire par ingénierie sociale.</w:t>
            </w:r>
          </w:p>
          <w:p>
            <w:pPr>
              <w:pStyle w:val="Normal"/>
              <w:widowControl w:val="false"/>
              <w:spacing w:lineRule="auto" w:line="240" w:before="0" w:after="0"/>
              <w:rPr/>
            </w:pPr>
            <w:r>
              <w:rPr>
                <w:rStyle w:val="Fontstyle01"/>
                <w:rFonts w:cs="Calibri Light" w:ascii="Calibri Light" w:hAnsi="Calibri Light"/>
              </w:rPr>
              <w:t>Acte involontaire : un utilisateur légitime dispose d’un accès élargi (suite à un</w:t>
            </w:r>
            <w:r>
              <w:rPr>
                <w:rFonts w:cs="Calibri Light" w:ascii="Calibri Light" w:hAnsi="Calibri Light"/>
                <w:color w:val="000000"/>
                <w:sz w:val="20"/>
                <w:szCs w:val="20"/>
              </w:rPr>
              <w:br/>
            </w:r>
            <w:r>
              <w:rPr>
                <w:rStyle w:val="Fontstyle01"/>
                <w:rFonts w:cs="Calibri Light" w:ascii="Calibri Light" w:hAnsi="Calibri Light"/>
              </w:rPr>
              <w:t>dysfonctionnement) et accède à des données auxquelles il n’aurait pas dû</w:t>
            </w:r>
          </w:p>
          <w:p>
            <w:pPr>
              <w:pStyle w:val="Normal"/>
              <w:widowControl w:val="false"/>
              <w:spacing w:lineRule="auto" w:line="240" w:before="0" w:after="0"/>
              <w:rPr/>
            </w:pPr>
            <w:r>
              <w:rPr/>
            </w:r>
          </w:p>
          <w:p>
            <w:pPr>
              <w:pStyle w:val="Normal"/>
              <w:widowControl w:val="false"/>
              <w:spacing w:lineRule="auto" w:line="240"/>
              <w:rPr>
                <w:rFonts w:ascii="Calibri Light" w:hAnsi="Calibri Light" w:cs="Calibri Light"/>
                <w:sz w:val="20"/>
              </w:rPr>
            </w:pPr>
            <w:r>
              <w:rPr>
                <w:rFonts w:cs="Calibri Light" w:ascii="Calibri Light" w:hAnsi="Calibri Light"/>
                <w:sz w:val="20"/>
              </w:rPr>
              <w:t>Piratage du flux de transmission des données entre les caméras de vidéoprotection et les salles de commandement</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Vol du matériel par un tiers</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Mauvaise gouvernance</w:t>
            </w:r>
          </w:p>
          <w:p>
            <w:pPr>
              <w:pStyle w:val="Normal"/>
              <w:widowControl w:val="false"/>
              <w:spacing w:lineRule="auto" w:line="240"/>
              <w:rPr>
                <w:rFonts w:ascii="Calibri Light" w:hAnsi="Calibri Light" w:cs="Calibri Light"/>
                <w:sz w:val="20"/>
              </w:rPr>
            </w:pPr>
            <w:r>
              <w:rPr>
                <w:rFonts w:cs="Calibri Light" w:ascii="Calibri Light" w:hAnsi="Calibri Light"/>
                <w:sz w:val="20"/>
              </w:rPr>
              <w:t>Intégrité et confidentialité des données.</w:t>
            </w:r>
          </w:p>
          <w:p>
            <w:pPr>
              <w:pStyle w:val="Normal"/>
              <w:widowControl w:val="false"/>
              <w:spacing w:lineRule="auto" w:line="240"/>
              <w:rPr>
                <w:rFonts w:ascii="Calibri Light" w:hAnsi="Calibri Light" w:cs="Calibri Light"/>
                <w:sz w:val="20"/>
              </w:rPr>
            </w:pPr>
            <w:r>
              <w:rPr>
                <w:rFonts w:cs="Calibri Light" w:ascii="Calibri Light" w:hAnsi="Calibri Light"/>
                <w:sz w:val="20"/>
              </w:rPr>
              <w:t>Effacement des données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Consultation et extraction des données collectées en vue d'une divulgation ou d'une utilisation illégale</w:t>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Risque d'atteinte à la vie privée</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Concernant les enregistrements mettant en cause une personne, une victime ou un témoin : risque de menaces ou harcèlement et perte de réputation, de dégradation de biens en représailles ou de violences si diffusion des données suite à un accès illégitime</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 xml:space="preserve">Discrédit de l’usage du dispositif </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Accessoirement atteinte au secret dans le cadre d’une procédure judiciaire</w:t>
            </w:r>
          </w:p>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Respect stricte des règles de confidentialité, des accès aux locaux, des mots de passe avec mesures de contrôle des logs.</w:t>
            </w:r>
          </w:p>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Importante</w:t>
            </w:r>
          </w:p>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r>
          </w:p>
          <w:p>
            <w:pPr>
              <w:pStyle w:val="Normal"/>
              <w:widowControl w:val="false"/>
              <w:spacing w:lineRule="auto" w:line="240" w:before="0" w:after="0"/>
              <w:rPr>
                <w:rFonts w:ascii="Calibri Light" w:hAnsi="Calibri Light" w:cs="Calibri Light"/>
                <w:sz w:val="20"/>
                <w:szCs w:val="20"/>
              </w:rPr>
            </w:pPr>
            <w:r>
              <w:rPr>
                <w:rFonts w:cs="Calibri Light" w:ascii="Calibri Light" w:hAnsi="Calibri Light"/>
                <w:sz w:val="20"/>
                <w:szCs w:val="20"/>
              </w:rPr>
              <w:t>Les images vidéo permettent d’identifier des personnes physiques et, le cas échéant, leur associer des comportements. Un accès illégitime pourrait avoir des conséquences importantes pour la personne filmée, et notamment atteinte au droit au respect de la vie privée.</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Limitée </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Modification non désirées de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Accès physique à la caméra, à la salle de commandement ou à la solution de stockage</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Modification des informations collectées ne permettant plus d’utiliser celles-ci à l’appui d’une procédure.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t>Impossibilité d’exploiter les informations et de les utiliser dans le cadre d’une procédure qu’elle soit judiciaire, administrative ou disciplinaire en tant que preuve.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Intégrité et confidentialité des données, perte de crédibilité, perte de réputation, sentiment d’injustice si les images altérées accusent à tort ou empêchent la saisie correcte de justice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Risque de dégradations de biens en représailles ou de violence pour une personne injustement mise en cause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Perte de chance pour la victime d’obtenir réparation du préjudice subi si le ou les responsables sont supprimés des enregistrements</w:t>
            </w:r>
          </w:p>
          <w:p>
            <w:pPr>
              <w:pStyle w:val="Normal"/>
              <w:widowControl w:val="false"/>
              <w:spacing w:lineRule="auto" w:line="240" w:before="0" w:after="200"/>
              <w:rPr>
                <w:rFonts w:ascii="Calibri Light" w:hAnsi="Calibri Light" w:eastAsia="Calibri Light" w:cs="Calibri Light"/>
                <w:color w:val="000000"/>
                <w:sz w:val="20"/>
                <w:szCs w:val="20"/>
              </w:rPr>
            </w:pPr>
            <w:r>
              <w:rPr>
                <w:rFonts w:eastAsia="Calibri Light" w:cs="Calibri Light" w:ascii="Calibri Light" w:hAnsi="Calibri Light"/>
                <w:color w:val="000000"/>
                <w:sz w:val="20"/>
                <w:szCs w:val="20"/>
              </w:rPr>
              <w:t xml:space="preserve"> </w:t>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Gestion des accès logique et physique à la solution, fermeture des ports de communications non utiles, traçabilité. </w:t>
            </w:r>
          </w:p>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Information des personnels sur la gestion de données critiques. </w:t>
            </w:r>
          </w:p>
          <w:p>
            <w:pPr>
              <w:pStyle w:val="Normal"/>
              <w:widowControl w:val="false"/>
              <w:spacing w:lineRule="auto" w:line="240"/>
              <w:rPr>
                <w:rFonts w:ascii="Calibri Light" w:hAnsi="Calibri Light" w:cs="Calibri Light"/>
                <w:sz w:val="20"/>
              </w:rPr>
            </w:pPr>
            <w:r>
              <w:rPr>
                <w:rFonts w:cs="Calibri Light" w:ascii="Calibri Light" w:hAnsi="Calibri Light"/>
                <w:sz w:val="20"/>
              </w:rPr>
              <w:t>Sauvegarde des données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Importante mais une modification des images captées serait nécessairement détectée car portant atteinte à l’intégrité de la donnée.</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Limitée </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Disparition de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Perte de contrôle sur la caméra de vidéoprotection</w:t>
            </w:r>
          </w:p>
          <w:p>
            <w:pPr>
              <w:pStyle w:val="Normal"/>
              <w:widowControl w:val="false"/>
              <w:spacing w:lineRule="auto" w:line="240"/>
              <w:rPr>
                <w:rFonts w:ascii="Calibri Light" w:hAnsi="Calibri Light" w:cs="Calibri Light"/>
                <w:sz w:val="20"/>
              </w:rPr>
            </w:pPr>
            <w:r>
              <w:rPr>
                <w:rFonts w:cs="Calibri Light" w:ascii="Calibri Light" w:hAnsi="Calibri Light"/>
                <w:sz w:val="20"/>
              </w:rPr>
              <w:t>Destruction de la caméra par les personnels du service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Destruction par un tiers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 xml:space="preserve">Introduction usurpée ou frauduleuse dans le système de conservation </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Cas de force majeure : incendie, inondation</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Dysfonctionnement du stockage, erreur de manipulation du personnel, problème de maintenance ou défaillance technique </w:t>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Incapacité à produire lesinformation attendues au regard des finalités </w:t>
            </w:r>
          </w:p>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Impossibilité d’exploiter les informations et de les utiliser dans le cadre d’une procédure judiciaire, administrative ou disciplinaire. </w:t>
            </w:r>
          </w:p>
          <w:p>
            <w:pPr>
              <w:pStyle w:val="Normal"/>
              <w:widowControl w:val="false"/>
              <w:spacing w:lineRule="auto" w:line="240"/>
              <w:rPr>
                <w:rFonts w:ascii="Calibri Light" w:hAnsi="Calibri Light" w:cs="Calibri Light"/>
                <w:sz w:val="20"/>
              </w:rPr>
            </w:pPr>
            <w:r>
              <w:rPr>
                <w:rFonts w:cs="Calibri Light" w:ascii="Calibri Light" w:hAnsi="Calibri Light"/>
                <w:sz w:val="20"/>
              </w:rPr>
              <w:t>Perte de confiance des agents et des personnes liées au défaut de sécurisation des enregistrements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Destruction de matériels, pertes financières</w:t>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Maintenance, contrôles réguliers du dispositif et des connexions</w:t>
            </w:r>
          </w:p>
          <w:p>
            <w:pPr>
              <w:pStyle w:val="Normal"/>
              <w:widowControl w:val="false"/>
              <w:spacing w:lineRule="auto" w:line="240"/>
              <w:rPr>
                <w:rFonts w:ascii="Calibri Light" w:hAnsi="Calibri Light" w:cs="Calibri Light"/>
                <w:sz w:val="20"/>
              </w:rPr>
            </w:pPr>
            <w:r>
              <w:rPr>
                <w:rFonts w:cs="Calibri Light" w:ascii="Calibri Light" w:hAnsi="Calibri Light"/>
                <w:sz w:val="20"/>
              </w:rPr>
              <w:t>Stockage des données en lieu sécurisé, et accès logique aux données contrôlées.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Cryptage des données sur la zone de stockage.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Mise en place d’un mécanisme rendant impossible la suppression des images par les personnels.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Mise en place de procédures de  sauvegarde ou de réplication</w:t>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Importante mais une suppression des données serait détectée par les informations de traçabilité. </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Limitée</w:t>
            </w:r>
          </w:p>
        </w:tc>
      </w:tr>
    </w:tbl>
    <w:p>
      <w:pPr>
        <w:sectPr>
          <w:headerReference w:type="default" r:id="rId4"/>
          <w:headerReference w:type="first" r:id="rId5"/>
          <w:footerReference w:type="default" r:id="rId6"/>
          <w:footerReference w:type="first" r:id="rId7"/>
          <w:type w:val="nextPage"/>
          <w:pgSz w:orient="landscape" w:w="16838" w:h="11906"/>
          <w:pgMar w:left="828" w:right="1383" w:gutter="0" w:header="709" w:top="992" w:footer="289" w:bottom="992"/>
          <w:pgNumType w:fmt="decimal"/>
          <w:formProt w:val="false"/>
          <w:textDirection w:val="lrTb"/>
          <w:docGrid w:type="default" w:linePitch="600" w:charSpace="36864"/>
        </w:sectPr>
        <w:pStyle w:val="Titre3"/>
        <w:numPr>
          <w:ilvl w:val="2"/>
          <w:numId w:val="1"/>
        </w:numPr>
        <w:rPr>
          <w:rFonts w:cs="Calibri Light"/>
          <w:b/>
          <w:bCs/>
          <w:color w:val="FFFFFF"/>
        </w:rPr>
      </w:pPr>
      <w:r>
        <w:rPr>
          <w:rFonts w:cs="Calibri Light"/>
          <w:b/>
          <w:bCs/>
          <w:color w:val="FFFFFF"/>
        </w:rPr>
        <w:t>e et estimation des risques</w:t>
      </w:r>
    </w:p>
    <w:p>
      <w:pPr>
        <w:pStyle w:val="Titre1"/>
        <w:numPr>
          <w:ilvl w:val="0"/>
          <w:numId w:val="1"/>
        </w:numPr>
        <w:rPr>
          <w:rFonts w:ascii="Calibri Light" w:hAnsi="Calibri Light" w:cs="Calibri Light"/>
        </w:rPr>
      </w:pPr>
      <w:bookmarkStart w:id="51" w:name="__RefHeading___Toc134541000"/>
      <w:bookmarkEnd w:id="51"/>
      <w:r>
        <w:rPr>
          <w:rFonts w:cs="Calibri Light" w:ascii="Calibri Light" w:hAnsi="Calibri Light"/>
        </w:rPr>
        <w:t>5. Validation de l’analyse d’impact</w:t>
      </w:r>
    </w:p>
    <w:p>
      <w:pPr>
        <w:pStyle w:val="Titre2"/>
        <w:numPr>
          <w:ilvl w:val="1"/>
          <w:numId w:val="1"/>
        </w:numPr>
        <w:rPr>
          <w:rFonts w:cs="Calibri Light"/>
          <w:bCs w:val="false"/>
        </w:rPr>
      </w:pPr>
      <w:bookmarkStart w:id="52" w:name="__RefHeading___Toc134541001"/>
      <w:bookmarkEnd w:id="52"/>
      <w:r>
        <w:rPr>
          <w:rFonts w:cs="Calibri Light"/>
          <w:bCs w:val="false"/>
        </w:rPr>
        <w:t>5.1. Eléments utiles à la validation</w:t>
      </w:r>
    </w:p>
    <w:p>
      <w:pPr>
        <w:pStyle w:val="Titre3"/>
        <w:numPr>
          <w:ilvl w:val="2"/>
          <w:numId w:val="1"/>
        </w:numPr>
        <w:rPr/>
      </w:pPr>
      <w:bookmarkStart w:id="53" w:name="__RefHeading___Toc134541002"/>
      <w:bookmarkEnd w:id="53"/>
      <w:r>
        <w:rPr>
          <w:rFonts w:cs="Calibri Light"/>
          <w:b/>
          <w:bCs/>
          <w:color w:val="FFFFFF"/>
        </w:rPr>
        <w:t xml:space="preserve">5.1.1. Synthèse relative à la conformité au RGPD </w:t>
      </w:r>
    </w:p>
    <w:tbl>
      <w:tblPr>
        <w:tblW w:w="10319" w:type="dxa"/>
        <w:jc w:val="left"/>
        <w:tblInd w:w="-217" w:type="dxa"/>
        <w:tblLayout w:type="fixed"/>
        <w:tblCellMar>
          <w:top w:w="0" w:type="dxa"/>
          <w:left w:w="88" w:type="dxa"/>
          <w:bottom w:w="0" w:type="dxa"/>
          <w:right w:w="108" w:type="dxa"/>
        </w:tblCellMar>
        <w:tblLook w:firstRow="0" w:noVBand="0" w:lastRow="0" w:firstColumn="0" w:lastColumn="0" w:noHBand="0" w:val="0000"/>
      </w:tblPr>
      <w:tblGrid>
        <w:gridCol w:w="3439"/>
        <w:gridCol w:w="3440"/>
        <w:gridCol w:w="3440"/>
      </w:tblGrid>
      <w:tr>
        <w:trPr/>
        <w:tc>
          <w:tcPr>
            <w:tcW w:w="3439" w:type="dxa"/>
            <w:tcBorders>
              <w:top w:val="single" w:sz="4" w:space="0" w:color="808080"/>
              <w:left w:val="single" w:sz="4" w:space="0" w:color="808080"/>
              <w:bottom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344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Evaluation</w:t>
            </w:r>
          </w:p>
        </w:tc>
        <w:tc>
          <w:tcPr>
            <w:tcW w:w="3440"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10319" w:type="dxa"/>
            <w:gridSpan w:val="3"/>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garantissant la proportionnalité et la nécessité du traitement</w:t>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Finalités : déterminées, explicites et légitimes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Fondement : licéité du traitement, interdiction du détournement de finalité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Minimisation des données : adéquates, pertinentes et limitées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Qualité des données : exactes et tenues à jour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Durées de conservation : limitées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10319" w:type="dxa"/>
            <w:gridSpan w:val="3"/>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protectrices des droits des personnes des personnes concernées</w:t>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Information des personnes concernées (traitement loyal et transparent)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Recueil du consentement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pacing w:before="0" w:after="160"/>
              <w:jc w:val="center"/>
              <w:rPr>
                <w:rFonts w:ascii="Calibri Light" w:hAnsi="Calibri Light" w:cs="Calibri Light"/>
                <w:sz w:val="20"/>
                <w:szCs w:val="20"/>
              </w:rPr>
            </w:pPr>
            <w:r>
              <w:rPr>
                <w:rFonts w:cs="Calibri Light" w:ascii="Calibri Light" w:hAnsi="Calibri Light"/>
                <w:sz w:val="20"/>
                <w:szCs w:val="20"/>
              </w:rPr>
              <w:t>Non applicable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0" w:after="16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d’accès et à la portabilité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0" w:after="0"/>
              <w:jc w:val="center"/>
              <w:rPr>
                <w:rFonts w:ascii="Calibri Light" w:hAnsi="Calibri Light" w:cs="Calibri Light"/>
                <w:b/>
                <w:sz w:val="20"/>
                <w:szCs w:val="20"/>
              </w:rPr>
            </w:pPr>
            <w:r>
              <w:rPr>
                <w:rFonts w:cs="Calibri Light" w:ascii="Calibri Light" w:hAnsi="Calibri Light"/>
                <w:b/>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d'accès : Acceptable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à la portabilité : non applicable</w:t>
            </w:r>
          </w:p>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de rectification et d’effacement </w:t>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pPr>
              <w:pStyle w:val="Normal"/>
              <w:widowControl w:val="false"/>
              <w:snapToGrid w:val="false"/>
              <w:spacing w:before="0" w:after="0"/>
              <w:jc w:val="center"/>
              <w:rPr>
                <w:rFonts w:ascii="Calibri Light" w:hAnsi="Calibri Light" w:cs="Calibri Light"/>
                <w:b/>
                <w:sz w:val="20"/>
                <w:szCs w:val="20"/>
                <w:shd w:fill="FFFF00" w:val="clear"/>
              </w:rPr>
            </w:pPr>
            <w:r>
              <w:rPr>
                <w:rFonts w:cs="Calibri Light" w:ascii="Calibri Light" w:hAnsi="Calibri Light"/>
                <w:b/>
                <w:sz w:val="20"/>
                <w:szCs w:val="20"/>
                <w:shd w:fill="FFFF00" w:val="clear"/>
              </w:rPr>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t>Droit de rectification :  acceptable</w:t>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120" w:after="0"/>
              <w:jc w:val="center"/>
              <w:rPr/>
            </w:pPr>
            <w:r>
              <w:rPr>
                <w:rFonts w:cs="Calibri Light" w:ascii="Calibri Light" w:hAnsi="Calibri Light"/>
                <w:sz w:val="20"/>
                <w:szCs w:val="20"/>
              </w:rPr>
              <w:t xml:space="preserve">Droit d’effacement : </w:t>
            </w:r>
            <w:r>
              <w:rPr>
                <w:rFonts w:cs="Calibri Light" w:ascii="Calibri Light" w:hAnsi="Calibri Light"/>
                <w:bCs/>
                <w:sz w:val="20"/>
                <w:szCs w:val="20"/>
              </w:rPr>
              <w:t>Acceptable</w:t>
            </w:r>
            <w:r>
              <w:rPr>
                <w:rFonts w:cs="Calibri Light" w:ascii="Calibri Light" w:hAnsi="Calibri Light"/>
                <w:b/>
                <w:bCs/>
                <w:sz w:val="20"/>
                <w:szCs w:val="20"/>
              </w:rPr>
              <w:t> </w:t>
            </w:r>
          </w:p>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à la limitation du traitement et d’opposition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d’opposition :  non applicable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120" w:after="0"/>
              <w:jc w:val="center"/>
              <w:rPr/>
            </w:pPr>
            <w:r>
              <w:rPr>
                <w:rFonts w:eastAsia="Calibri Light" w:cs="Calibri Light" w:ascii="Calibri Light" w:hAnsi="Calibri Light"/>
                <w:sz w:val="20"/>
                <w:szCs w:val="20"/>
              </w:rPr>
              <w:t xml:space="preserve"> </w:t>
            </w:r>
            <w:r>
              <w:rPr>
                <w:rFonts w:cs="Calibri Light" w:ascii="Calibri Light" w:hAnsi="Calibri Light"/>
                <w:sz w:val="20"/>
                <w:szCs w:val="20"/>
              </w:rPr>
              <w:t xml:space="preserve">Droit à la limitation : </w:t>
            </w:r>
            <w:r>
              <w:rPr>
                <w:rFonts w:cs="Calibri Light" w:ascii="Calibri Light" w:hAnsi="Calibri Light"/>
                <w:bCs/>
                <w:sz w:val="20"/>
                <w:szCs w:val="20"/>
              </w:rPr>
              <w:t>Acceptable</w:t>
            </w:r>
            <w:r>
              <w:rPr>
                <w:rFonts w:cs="Calibri Light" w:ascii="Calibri Light" w:hAnsi="Calibri Light"/>
                <w:b/>
                <w:bCs/>
                <w:sz w:val="20"/>
                <w:szCs w:val="20"/>
              </w:rPr>
              <w:t>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Sous-traitance : identifiée et contractualisée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pPr>
            <w:r>
              <w:rPr>
                <w:rFonts w:cs="Calibri Light" w:ascii="Calibri Light" w:hAnsi="Calibri Light"/>
                <w:bCs/>
                <w:sz w:val="20"/>
                <w:szCs w:val="20"/>
                <w:highlight w:val="yellow"/>
              </w:rPr>
              <w:t>Acceptable/Améliorable/non applicable</w:t>
            </w:r>
            <w:r>
              <w:rPr>
                <w:rFonts w:cs="Calibri Light" w:ascii="Calibri Light" w:hAnsi="Calibri Light"/>
                <w:b/>
                <w:bCs/>
                <w:sz w:val="20"/>
                <w:szCs w:val="20"/>
              </w:rPr>
              <w:t>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sz w:val="20"/>
                <w:szCs w:val="20"/>
                <w:highlight w:val="yellow"/>
              </w:rPr>
            </w:pPr>
            <w:r>
              <w:rPr>
                <w:rFonts w:cs="Calibri Light" w:ascii="Calibri Light" w:hAnsi="Calibri Light"/>
                <w:b/>
                <w:sz w:val="20"/>
                <w:szCs w:val="20"/>
                <w:highlight w:val="yellow"/>
              </w:rPr>
            </w:r>
          </w:p>
        </w:tc>
      </w:tr>
    </w:tbl>
    <w:p>
      <w:pPr>
        <w:pStyle w:val="Normal"/>
        <w:spacing w:lineRule="auto" w:line="240"/>
        <w:rPr>
          <w:rFonts w:ascii="Calibri Light" w:hAnsi="Calibri Light" w:cs="Calibri Light"/>
        </w:rPr>
      </w:pPr>
      <w:r>
        <w:rPr>
          <w:rFonts w:cs="Calibri Light" w:ascii="Calibri Light" w:hAnsi="Calibri Light"/>
        </w:rPr>
      </w:r>
    </w:p>
    <w:p>
      <w:pPr>
        <w:pStyle w:val="Titre3"/>
        <w:numPr>
          <w:ilvl w:val="2"/>
          <w:numId w:val="1"/>
        </w:numPr>
        <w:rPr>
          <w:rFonts w:cs="Calibri Light"/>
          <w:b/>
          <w:bCs/>
          <w:color w:val="FFFFFF"/>
        </w:rPr>
      </w:pPr>
      <w:bookmarkStart w:id="54" w:name="__RefHeading___Toc134541003"/>
      <w:bookmarkEnd w:id="54"/>
      <w:r>
        <w:rPr>
          <w:rFonts w:cs="Calibri Light"/>
          <w:b/>
          <w:bCs/>
          <w:color w:val="FFFFFF"/>
        </w:rPr>
        <w:t>5.1.2. Synthèse relative à la conformité aux bonnes pratiques des mesures contribuant à traiter les risques liés à la sécurité des données</w:t>
      </w:r>
    </w:p>
    <w:tbl>
      <w:tblPr>
        <w:tblW w:w="10061" w:type="dxa"/>
        <w:jc w:val="left"/>
        <w:tblInd w:w="-217" w:type="dxa"/>
        <w:tblLayout w:type="fixed"/>
        <w:tblCellMar>
          <w:top w:w="0" w:type="dxa"/>
          <w:left w:w="88" w:type="dxa"/>
          <w:bottom w:w="0" w:type="dxa"/>
          <w:right w:w="108" w:type="dxa"/>
        </w:tblCellMar>
        <w:tblLook w:firstRow="0" w:noVBand="0" w:lastRow="0" w:firstColumn="0" w:lastColumn="0" w:noHBand="0" w:val="0000"/>
      </w:tblPr>
      <w:tblGrid>
        <w:gridCol w:w="6944"/>
        <w:gridCol w:w="3116"/>
      </w:tblGrid>
      <w:tr>
        <w:trPr/>
        <w:tc>
          <w:tcPr>
            <w:tcW w:w="6944" w:type="dxa"/>
            <w:tcBorders>
              <w:top w:val="single" w:sz="4" w:space="0" w:color="808080"/>
              <w:left w:val="single" w:sz="4" w:space="0" w:color="808080"/>
              <w:bottom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311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Evaluation</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portant spécifiquement sur les données du traitement</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Chiffrement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Pseudonymisation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Cloisonnement des données (par rapport au reste du système d’information)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Contrôle des accès logiques des utilisateurs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Traçabilité (journalisation)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Archivage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documents papier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Sans objet</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générales de sécurité du système dans lequel le traitement est mis en œuvre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 l’exploitation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Lutte contre les logiciels malveillants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sites web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Sauvegardes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Maintenance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canaux informatiques (réseaux)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Surveillance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matériels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organisationnelles (gouvernance)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Organisation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Politique (gestion des règles)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risques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projets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incidents et des violations de données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personnels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Relations avec les tiers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Supervision</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bl>
    <w:p>
      <w:pPr>
        <w:pStyle w:val="Normal"/>
        <w:spacing w:lineRule="auto" w:line="240"/>
        <w:rPr>
          <w:rFonts w:ascii="Calibri Light" w:hAnsi="Calibri Light" w:cs="Calibri Light"/>
        </w:rPr>
      </w:pPr>
      <w:r>
        <w:rPr>
          <w:rFonts w:cs="Calibri Light" w:ascii="Calibri Light" w:hAnsi="Calibri Light"/>
        </w:rPr>
      </w:r>
    </w:p>
    <w:p>
      <w:pPr>
        <w:pStyle w:val="Normal"/>
        <w:spacing w:lineRule="auto" w:line="240"/>
        <w:rPr>
          <w:rFonts w:ascii="Calibri Light" w:hAnsi="Calibri Light" w:cs="Calibri Light"/>
        </w:rPr>
      </w:pPr>
      <w:r>
        <w:rPr>
          <w:rFonts w:cs="Calibri Light" w:ascii="Calibri Light" w:hAnsi="Calibri Light"/>
        </w:rPr>
      </w:r>
    </w:p>
    <w:p>
      <w:pPr>
        <w:pStyle w:val="Normal"/>
        <w:numPr>
          <w:ilvl w:val="0"/>
          <w:numId w:val="0"/>
        </w:numPr>
        <w:spacing w:lineRule="auto" w:line="240" w:before="0" w:after="0"/>
        <w:jc w:val="left"/>
        <w:outlineLvl w:val="2"/>
        <w:rPr>
          <w:rFonts w:cs="Calibri Light"/>
        </w:rPr>
      </w:pPr>
      <w:bookmarkStart w:id="55" w:name="__RefHeading___Toc134541004"/>
      <w:bookmarkEnd w:id="55"/>
      <w:commentRangeStart w:id="16"/>
      <w:r>
        <w:rPr>
          <w:rFonts w:cs="Calibri Light"/>
        </w:rPr>
        <w:t>5.1.3. Cartographie des risques liés à la sécurité des données</w:t>
      </w:r>
      <w:commentRangeEnd w:id="16"/>
      <w:r>
        <w:commentReference w:id="16"/>
      </w:r>
      <w:r>
        <w:rPr>
          <w:rFonts w:cs="Calibri Light"/>
        </w:rPr>
      </w:r>
    </w:p>
    <w:p>
      <w:pPr>
        <w:pStyle w:val="Normal"/>
        <w:numPr>
          <w:ilvl w:val="0"/>
          <w:numId w:val="0"/>
        </w:numPr>
        <w:spacing w:lineRule="auto" w:line="240" w:before="0" w:after="0"/>
        <w:jc w:val="left"/>
        <w:outlineLvl w:val="2"/>
        <w:rPr>
          <w:rFonts w:cs="Calibri Light"/>
          <w:i/>
          <w:i/>
          <w:sz w:val="20"/>
          <w:szCs w:val="20"/>
        </w:rPr>
      </w:pPr>
      <w:r>
        <w:rPr>
          <w:rFonts w:cs="Calibri Light"/>
          <w:i/>
          <w:sz w:val="20"/>
          <w:szCs w:val="20"/>
        </w:rPr>
      </w:r>
    </w:p>
    <w:p>
      <w:pPr>
        <w:pStyle w:val="Normal"/>
        <w:suppressLineNumbers/>
        <w:spacing w:lineRule="auto" w:line="240" w:before="0" w:after="0"/>
        <w:rPr/>
      </w:pPr>
      <w:r>
        <w:rPr>
          <w:rFonts w:eastAsia="Calibri" w:cs="Calibri"/>
          <w:color w:val="00000A"/>
          <w:kern w:val="2"/>
          <w:sz w:val="20"/>
          <w:szCs w:val="20"/>
          <w:lang w:bidi="hi-IN"/>
        </w:rPr>
        <w:t xml:space="preserve"> </w:t>
      </w:r>
      <w:r>
        <w:rPr>
          <w:rFonts w:eastAsia="SimSun;宋体" w:cs="Calibri"/>
          <w:color w:val="00000A"/>
          <w:kern w:val="2"/>
          <w:sz w:val="20"/>
          <w:szCs w:val="20"/>
          <w:lang w:bidi="hi-IN"/>
        </w:rPr>
        <w:t>Avant mesures :</w:t>
      </w:r>
    </w:p>
    <w:p>
      <w:pPr>
        <w:pStyle w:val="Normal"/>
        <w:suppressLineNumbers/>
        <w:spacing w:lineRule="auto" w:line="240" w:before="0" w:after="0"/>
        <w:rPr>
          <w:rFonts w:eastAsia="SimSun;宋体" w:cs="Arial"/>
          <w:b/>
          <w:color w:val="00000A"/>
          <w:kern w:val="2"/>
          <w:sz w:val="20"/>
          <w:szCs w:val="20"/>
          <w:lang w:bidi="hi-IN"/>
        </w:rPr>
      </w:pPr>
      <w:r>
        <w:rPr>
          <w:rFonts w:eastAsia="SimSun;宋体" w:cs="Arial"/>
          <w:b/>
          <w:color w:val="00000A"/>
          <w:kern w:val="2"/>
          <w:sz w:val="20"/>
          <w:szCs w:val="20"/>
          <w:lang w:bidi="hi-IN"/>
        </w:rPr>
      </w:r>
    </w:p>
    <w:p>
      <w:pPr>
        <w:pStyle w:val="Normal"/>
        <w:suppressLineNumbers/>
        <w:spacing w:lineRule="auto" w:line="240" w:before="0" w:after="0"/>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95275" cy="32385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8"/>
                    <a:srcRect l="-488" t="-445" r="-488" b="-445"/>
                    <a:stretch>
                      <a:fillRect/>
                    </a:stretch>
                  </pic:blipFill>
                  <pic:spPr bwMode="auto">
                    <a:xfrm>
                      <a:off x="0" y="0"/>
                      <a:ext cx="295275" cy="323850"/>
                    </a:xfrm>
                    <a:prstGeom prst="rect">
                      <a:avLst/>
                    </a:prstGeom>
                  </pic:spPr>
                </pic:pic>
              </a:graphicData>
            </a:graphic>
          </wp:inline>
        </w:drawing>
      </w:r>
      <w:r>
        <w:rPr>
          <w:rFonts w:eastAsia="Liberation Serif;Times New Roma" w:cs="Liberation Serif;Times New Roma" w:ascii="Liberation Serif;Times New Roma" w:hAnsi="Liberation Serif;Times New Roma"/>
          <w:color w:val="00000A"/>
          <w:kern w:val="2"/>
          <w:sz w:val="21"/>
          <w:szCs w:val="24"/>
          <w:lang w:bidi="hi-IN"/>
        </w:rPr>
        <mc:AlternateContent>
          <mc:Choice Requires="wps">
            <w:drawing>
              <wp:anchor behindDoc="0" distT="40005" distB="41275" distL="109220" distR="110490" simplePos="0" locked="0" layoutInCell="0" allowOverlap="1" relativeHeight="17" wp14:anchorId="356B3717">
                <wp:simplePos x="0" y="0"/>
                <wp:positionH relativeFrom="column">
                  <wp:posOffset>557530</wp:posOffset>
                </wp:positionH>
                <wp:positionV relativeFrom="paragraph">
                  <wp:posOffset>29210</wp:posOffset>
                </wp:positionV>
                <wp:extent cx="2510155" cy="300355"/>
                <wp:effectExtent l="5715" t="5715" r="4445" b="4445"/>
                <wp:wrapSquare wrapText="bothSides"/>
                <wp:docPr id="5" name="Cadre2"/>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Accès illégitime à des données</w:t>
                            </w:r>
                          </w:p>
                        </w:txbxContent>
                      </wps:txbx>
                      <wps:bodyPr anchor="t">
                        <a:noAutofit/>
                      </wps:bodyPr>
                    </wps:wsp>
                  </a:graphicData>
                </a:graphic>
              </wp:anchor>
            </w:drawing>
          </mc:Choice>
          <mc:Fallback>
            <w:pict>
              <v:rect id="shape_0" ID="Cadre2" path="m0,0l-2147483645,0l-2147483645,-2147483646l0,-2147483646xe" fillcolor="white" stroked="t" o:allowincell="f" style="position:absolute;margin-left:43.9pt;margin-top:2.3pt;width:197.6pt;height:23.6pt;mso-wrap-style:square;v-text-anchor:top" wp14:anchorId="356B3717">
                <v:fill o:detectmouseclick="t" type="solid" color2="black"/>
                <v:stroke color="white" weight="9360" joinstyle="round" endcap="flat"/>
                <v:textbox>
                  <w:txbxContent>
                    <w:p>
                      <w:pPr>
                        <w:pStyle w:val="Contenudecadre"/>
                        <w:spacing w:before="0" w:after="160"/>
                        <w:rPr>
                          <w:sz w:val="20"/>
                        </w:rPr>
                      </w:pPr>
                      <w:r>
                        <w:rPr>
                          <w:sz w:val="20"/>
                        </w:rPr>
                        <w:t>Accès illégitime à des données</w:t>
                      </w:r>
                    </w:p>
                  </w:txbxContent>
                </v:textbox>
                <w10:wrap type="square"/>
              </v:rect>
            </w:pict>
          </mc:Fallback>
        </mc:AlternateContent>
      </w: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76225" cy="28575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9"/>
                    <a:srcRect l="-522" t="-504" r="-522" b="-504"/>
                    <a:stretch>
                      <a:fillRect/>
                    </a:stretch>
                  </pic:blipFill>
                  <pic:spPr bwMode="auto">
                    <a:xfrm>
                      <a:off x="0" y="0"/>
                      <a:ext cx="276225"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19" wp14:anchorId="12AF72A4">
                <wp:simplePos x="0" y="0"/>
                <wp:positionH relativeFrom="column">
                  <wp:posOffset>573405</wp:posOffset>
                </wp:positionH>
                <wp:positionV relativeFrom="paragraph">
                  <wp:posOffset>4445</wp:posOffset>
                </wp:positionV>
                <wp:extent cx="2510155" cy="300355"/>
                <wp:effectExtent l="5715" t="5715" r="4445" b="4445"/>
                <wp:wrapSquare wrapText="bothSides"/>
                <wp:docPr id="7" name="Cadre3"/>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szCs w:val="20"/>
                              </w:rPr>
                            </w:pPr>
                            <w:r>
                              <w:rPr>
                                <w:sz w:val="20"/>
                                <w:szCs w:val="20"/>
                              </w:rPr>
                              <w:t>Modification non désirée de données</w:t>
                            </w:r>
                          </w:p>
                        </w:txbxContent>
                      </wps:txbx>
                      <wps:bodyPr anchor="t">
                        <a:noAutofit/>
                      </wps:bodyPr>
                    </wps:wsp>
                  </a:graphicData>
                </a:graphic>
              </wp:anchor>
            </w:drawing>
          </mc:Choice>
          <mc:Fallback>
            <w:pict>
              <v:rect id="shape_0" ID="Cadre3" path="m0,0l-2147483645,0l-2147483645,-2147483646l0,-2147483646xe" fillcolor="white" stroked="t" o:allowincell="f" style="position:absolute;margin-left:45.15pt;margin-top:0.35pt;width:197.6pt;height:23.6pt;mso-wrap-style:square;v-text-anchor:top" wp14:anchorId="12AF72A4">
                <v:fill o:detectmouseclick="t" type="solid" color2="black"/>
                <v:stroke color="white" weight="9360" joinstyle="round" endcap="flat"/>
                <v:textbox>
                  <w:txbxContent>
                    <w:p>
                      <w:pPr>
                        <w:pStyle w:val="Contenudecadre"/>
                        <w:spacing w:before="0" w:after="160"/>
                        <w:rPr>
                          <w:sz w:val="20"/>
                          <w:szCs w:val="20"/>
                        </w:rPr>
                      </w:pPr>
                      <w:r>
                        <w:rPr>
                          <w:sz w:val="20"/>
                          <w:szCs w:val="20"/>
                        </w:rPr>
                        <w:t>Modification non désirée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85750" cy="285750"/>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0"/>
                    <a:srcRect l="-504" t="-504" r="-504" b="-504"/>
                    <a:stretch>
                      <a:fillRect/>
                    </a:stretch>
                  </pic:blipFill>
                  <pic:spPr bwMode="auto">
                    <a:xfrm>
                      <a:off x="0" y="0"/>
                      <a:ext cx="285750"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1" wp14:anchorId="2E59AE68">
                <wp:simplePos x="0" y="0"/>
                <wp:positionH relativeFrom="column">
                  <wp:posOffset>572135</wp:posOffset>
                </wp:positionH>
                <wp:positionV relativeFrom="paragraph">
                  <wp:posOffset>3810</wp:posOffset>
                </wp:positionV>
                <wp:extent cx="2510155" cy="300355"/>
                <wp:effectExtent l="5715" t="5715" r="4445" b="4445"/>
                <wp:wrapSquare wrapText="bothSides"/>
                <wp:docPr id="9" name="Cadre4"/>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Disparition de données</w:t>
                            </w:r>
                          </w:p>
                        </w:txbxContent>
                      </wps:txbx>
                      <wps:bodyPr anchor="t">
                        <a:noAutofit/>
                      </wps:bodyPr>
                    </wps:wsp>
                  </a:graphicData>
                </a:graphic>
              </wp:anchor>
            </w:drawing>
          </mc:Choice>
          <mc:Fallback>
            <w:pict>
              <v:rect id="shape_0" ID="Cadre4" path="m0,0l-2147483645,0l-2147483645,-2147483646l0,-2147483646xe" fillcolor="white" stroked="t" o:allowincell="f" style="position:absolute;margin-left:45.05pt;margin-top:0.3pt;width:197.6pt;height:23.6pt;mso-wrap-style:square;v-text-anchor:top" wp14:anchorId="2E59AE68">
                <v:fill o:detectmouseclick="t" type="solid" color2="black"/>
                <v:stroke color="white" weight="9360" joinstyle="round" endcap="flat"/>
                <v:textbox>
                  <w:txbxContent>
                    <w:p>
                      <w:pPr>
                        <w:pStyle w:val="Contenudecadre"/>
                        <w:spacing w:before="0" w:after="160"/>
                        <w:rPr>
                          <w:sz w:val="20"/>
                        </w:rPr>
                      </w:pPr>
                      <w:r>
                        <w:rPr>
                          <w:sz w:val="20"/>
                        </w:rPr>
                        <w:t>Disparition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52"/>
        <w:gridCol w:w="1651"/>
        <w:gridCol w:w="1653"/>
        <w:gridCol w:w="1652"/>
        <w:gridCol w:w="1651"/>
        <w:gridCol w:w="1652"/>
      </w:tblGrid>
      <w:tr>
        <w:trPr/>
        <w:tc>
          <w:tcPr>
            <w:tcW w:w="1652" w:type="dxa"/>
            <w:vMerge w:val="restart"/>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Gravité du risque</w:t>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Maximale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Importante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76225" cy="285750"/>
                  <wp:effectExtent l="0" t="0" r="0" b="0"/>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1"/>
                          <a:srcRect l="-522" t="-504" r="-522" b="-504"/>
                          <a:stretch>
                            <a:fillRect/>
                          </a:stretch>
                        </pic:blipFill>
                        <pic:spPr bwMode="auto">
                          <a:xfrm>
                            <a:off x="0" y="0"/>
                            <a:ext cx="276225" cy="285750"/>
                          </a:xfrm>
                          <a:prstGeom prst="rect">
                            <a:avLst/>
                          </a:prstGeom>
                        </pic:spPr>
                      </pic:pic>
                    </a:graphicData>
                  </a:graphic>
                </wp:inline>
              </w:drawing>
            </w:r>
            <w:r>
              <w:rPr/>
              <w:drawing>
                <wp:inline distT="0" distB="0" distL="0" distR="0">
                  <wp:extent cx="285750" cy="285750"/>
                  <wp:effectExtent l="0" t="0" r="0" b="0"/>
                  <wp:docPr id="1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descr=""/>
                          <pic:cNvPicPr>
                            <a:picLocks noChangeAspect="1" noChangeArrowheads="1"/>
                          </pic:cNvPicPr>
                        </pic:nvPicPr>
                        <pic:blipFill>
                          <a:blip r:embed="rId12"/>
                          <a:srcRect l="-504" t="-504" r="-504" b="-504"/>
                          <a:stretch>
                            <a:fillRect/>
                          </a:stretch>
                        </pic:blipFill>
                        <pic:spPr bwMode="auto">
                          <a:xfrm>
                            <a:off x="0" y="0"/>
                            <a:ext cx="285750" cy="285750"/>
                          </a:xfrm>
                          <a:prstGeom prst="rect">
                            <a:avLst/>
                          </a:prstGeom>
                        </pic:spPr>
                      </pic:pic>
                    </a:graphicData>
                  </a:graphic>
                </wp:inline>
              </w:drawing>
            </w:r>
            <w:r>
              <w:rPr/>
              <w:drawing>
                <wp:inline distT="0" distB="0" distL="0" distR="0">
                  <wp:extent cx="295275" cy="323850"/>
                  <wp:effectExtent l="0" t="0" r="0" b="0"/>
                  <wp:docPr id="1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pic:cNvPicPr>
                            <a:picLocks noChangeAspect="1" noChangeArrowheads="1"/>
                          </pic:cNvPicPr>
                        </pic:nvPicPr>
                        <pic:blipFill>
                          <a:blip r:embed="rId13"/>
                          <a:srcRect l="-488" t="-445" r="-488" b="-445"/>
                          <a:stretch>
                            <a:fillRect/>
                          </a:stretch>
                        </pic:blipFill>
                        <pic:spPr bwMode="auto">
                          <a:xfrm>
                            <a:off x="0" y="0"/>
                            <a:ext cx="295275" cy="323850"/>
                          </a:xfrm>
                          <a:prstGeom prst="rect">
                            <a:avLst/>
                          </a:prstGeom>
                        </pic:spPr>
                      </pic:pic>
                    </a:graphicData>
                  </a:graphic>
                </wp:inline>
              </w:drawing>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Limitée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Négligeable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33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center"/>
              <w:outlineLvl w:val="0"/>
              <w:rPr>
                <w:rFonts w:cs="Arial"/>
                <w:b/>
                <w:sz w:val="20"/>
                <w:szCs w:val="20"/>
              </w:rPr>
            </w:pPr>
            <w:r>
              <w:rPr>
                <w:rFonts w:cs="Arial"/>
                <w:b/>
                <w:sz w:val="20"/>
                <w:szCs w:val="20"/>
              </w:rPr>
              <w:t>Cartographie des risques</w:t>
            </w:r>
          </w:p>
        </w:tc>
        <w:tc>
          <w:tcPr>
            <w:tcW w:w="1653"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Limitée</w:t>
            </w:r>
          </w:p>
        </w:tc>
        <w:tc>
          <w:tcPr>
            <w:tcW w:w="1651"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Maximale</w:t>
            </w:r>
          </w:p>
        </w:tc>
      </w:tr>
      <w:tr>
        <w:trPr/>
        <w:tc>
          <w:tcPr>
            <w:tcW w:w="33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6608" w:type="dxa"/>
            <w:gridSpan w:val="4"/>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Vraisemblance du risque</w:t>
            </w:r>
          </w:p>
        </w:tc>
      </w:tr>
    </w:tbl>
    <w:p>
      <w:pPr>
        <w:pStyle w:val="Normal"/>
        <w:numPr>
          <w:ilvl w:val="0"/>
          <w:numId w:val="0"/>
        </w:numPr>
        <w:spacing w:lineRule="auto" w:line="240" w:before="0" w:after="0"/>
        <w:jc w:val="left"/>
        <w:outlineLvl w:val="2"/>
        <w:rPr>
          <w:rFonts w:cs="Arial"/>
          <w:b/>
          <w:sz w:val="20"/>
          <w:szCs w:val="20"/>
        </w:rPr>
      </w:pPr>
      <w:r>
        <w:rPr>
          <w:rFonts w:cs="Arial"/>
          <w:b/>
          <w:sz w:val="20"/>
          <w:szCs w:val="20"/>
        </w:rPr>
      </w:r>
    </w:p>
    <w:p>
      <w:pPr>
        <w:pStyle w:val="Normal"/>
        <w:tabs>
          <w:tab w:val="clear" w:pos="720"/>
          <w:tab w:val="left" w:pos="1035" w:leader="none"/>
        </w:tabs>
        <w:rPr>
          <w:rFonts w:eastAsia="SimSun;宋体" w:cs="Calibri"/>
          <w:color w:val="00000A"/>
          <w:kern w:val="2"/>
          <w:sz w:val="20"/>
          <w:szCs w:val="20"/>
          <w:lang w:bidi="hi-IN"/>
        </w:rPr>
      </w:pPr>
      <w:r>
        <w:rPr>
          <w:rFonts w:eastAsia="SimSun;宋体" w:cs="Calibri"/>
          <w:color w:val="00000A"/>
          <w:kern w:val="2"/>
          <w:sz w:val="20"/>
          <w:szCs w:val="20"/>
          <w:lang w:bidi="hi-IN"/>
        </w:rPr>
        <w:t>Après mesures :</w:t>
      </w:r>
    </w:p>
    <w:p>
      <w:pPr>
        <w:pStyle w:val="Normal"/>
        <w:tabs>
          <w:tab w:val="clear" w:pos="720"/>
          <w:tab w:val="left" w:pos="1035" w:leader="none"/>
        </w:tabs>
        <w:rPr>
          <w:rFonts w:cs="Arial"/>
          <w:sz w:val="20"/>
          <w:szCs w:val="20"/>
        </w:rPr>
      </w:pPr>
      <w:r>
        <w:rPr>
          <w:rFonts w:cs="Arial"/>
          <w:sz w:val="20"/>
          <w:szCs w:val="20"/>
        </w:rPr>
      </w:r>
    </w:p>
    <w:p>
      <w:pPr>
        <w:pStyle w:val="Normal"/>
        <w:suppressLineNumbers/>
        <w:spacing w:lineRule="auto" w:line="240" w:before="0" w:after="0"/>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95275" cy="323850"/>
            <wp:effectExtent l="0" t="0" r="0" b="0"/>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14"/>
                    <a:srcRect l="-488" t="-445" r="-488" b="-445"/>
                    <a:stretch>
                      <a:fillRect/>
                    </a:stretch>
                  </pic:blipFill>
                  <pic:spPr bwMode="auto">
                    <a:xfrm>
                      <a:off x="0" y="0"/>
                      <a:ext cx="295275" cy="323850"/>
                    </a:xfrm>
                    <a:prstGeom prst="rect">
                      <a:avLst/>
                    </a:prstGeom>
                  </pic:spPr>
                </pic:pic>
              </a:graphicData>
            </a:graphic>
          </wp:inline>
        </w:drawing>
      </w:r>
      <w:r>
        <w:rPr>
          <w:rFonts w:eastAsia="Liberation Serif;Times New Roma" w:cs="Liberation Serif;Times New Roma" w:ascii="Liberation Serif;Times New Roma" w:hAnsi="Liberation Serif;Times New Roma"/>
          <w:color w:val="00000A"/>
          <w:kern w:val="2"/>
          <w:sz w:val="21"/>
          <w:szCs w:val="24"/>
          <w:lang w:bidi="hi-IN"/>
        </w:rPr>
        <mc:AlternateContent>
          <mc:Choice Requires="wps">
            <w:drawing>
              <wp:anchor behindDoc="0" distT="40005" distB="41275" distL="109220" distR="110490" simplePos="0" locked="0" layoutInCell="0" allowOverlap="1" relativeHeight="23" wp14:anchorId="0DFB8AB1">
                <wp:simplePos x="0" y="0"/>
                <wp:positionH relativeFrom="column">
                  <wp:posOffset>557530</wp:posOffset>
                </wp:positionH>
                <wp:positionV relativeFrom="paragraph">
                  <wp:posOffset>29210</wp:posOffset>
                </wp:positionV>
                <wp:extent cx="2510155" cy="300355"/>
                <wp:effectExtent l="5715" t="5715" r="4445" b="4445"/>
                <wp:wrapSquare wrapText="bothSides"/>
                <wp:docPr id="14" name="Cadre5"/>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Accès illégitime à des données</w:t>
                            </w:r>
                          </w:p>
                        </w:txbxContent>
                      </wps:txbx>
                      <wps:bodyPr anchor="t">
                        <a:noAutofit/>
                      </wps:bodyPr>
                    </wps:wsp>
                  </a:graphicData>
                </a:graphic>
              </wp:anchor>
            </w:drawing>
          </mc:Choice>
          <mc:Fallback>
            <w:pict>
              <v:rect id="shape_0" ID="Cadre5" path="m0,0l-2147483645,0l-2147483645,-2147483646l0,-2147483646xe" fillcolor="white" stroked="t" o:allowincell="f" style="position:absolute;margin-left:43.9pt;margin-top:2.3pt;width:197.6pt;height:23.6pt;mso-wrap-style:square;v-text-anchor:top" wp14:anchorId="0DFB8AB1">
                <v:fill o:detectmouseclick="t" type="solid" color2="black"/>
                <v:stroke color="white" weight="9360" joinstyle="round" endcap="flat"/>
                <v:textbox>
                  <w:txbxContent>
                    <w:p>
                      <w:pPr>
                        <w:pStyle w:val="Contenudecadre"/>
                        <w:spacing w:before="0" w:after="160"/>
                        <w:rPr>
                          <w:sz w:val="20"/>
                        </w:rPr>
                      </w:pPr>
                      <w:r>
                        <w:rPr>
                          <w:sz w:val="20"/>
                        </w:rPr>
                        <w:t>Accès illégitime à des données</w:t>
                      </w:r>
                    </w:p>
                  </w:txbxContent>
                </v:textbox>
                <w10:wrap type="square"/>
              </v:rect>
            </w:pict>
          </mc:Fallback>
        </mc:AlternateContent>
      </w: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76225" cy="285750"/>
            <wp:effectExtent l="0" t="0" r="0" b="0"/>
            <wp:docPr id="1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 descr=""/>
                    <pic:cNvPicPr>
                      <a:picLocks noChangeAspect="1" noChangeArrowheads="1"/>
                    </pic:cNvPicPr>
                  </pic:nvPicPr>
                  <pic:blipFill>
                    <a:blip r:embed="rId15"/>
                    <a:srcRect l="-522" t="-504" r="-522" b="-504"/>
                    <a:stretch>
                      <a:fillRect/>
                    </a:stretch>
                  </pic:blipFill>
                  <pic:spPr bwMode="auto">
                    <a:xfrm>
                      <a:off x="0" y="0"/>
                      <a:ext cx="276225"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5" wp14:anchorId="5F556E6A">
                <wp:simplePos x="0" y="0"/>
                <wp:positionH relativeFrom="column">
                  <wp:posOffset>573405</wp:posOffset>
                </wp:positionH>
                <wp:positionV relativeFrom="paragraph">
                  <wp:posOffset>4445</wp:posOffset>
                </wp:positionV>
                <wp:extent cx="2510155" cy="300355"/>
                <wp:effectExtent l="5715" t="5715" r="4445" b="4445"/>
                <wp:wrapSquare wrapText="bothSides"/>
                <wp:docPr id="16" name="Cadre6"/>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szCs w:val="20"/>
                              </w:rPr>
                            </w:pPr>
                            <w:r>
                              <w:rPr>
                                <w:sz w:val="20"/>
                                <w:szCs w:val="20"/>
                              </w:rPr>
                              <w:t>Modification non désirée de données</w:t>
                            </w:r>
                          </w:p>
                        </w:txbxContent>
                      </wps:txbx>
                      <wps:bodyPr anchor="t">
                        <a:noAutofit/>
                      </wps:bodyPr>
                    </wps:wsp>
                  </a:graphicData>
                </a:graphic>
              </wp:anchor>
            </w:drawing>
          </mc:Choice>
          <mc:Fallback>
            <w:pict>
              <v:rect id="shape_0" ID="Cadre6" path="m0,0l-2147483645,0l-2147483645,-2147483646l0,-2147483646xe" fillcolor="white" stroked="t" o:allowincell="f" style="position:absolute;margin-left:45.15pt;margin-top:0.35pt;width:197.6pt;height:23.6pt;mso-wrap-style:square;v-text-anchor:top" wp14:anchorId="5F556E6A">
                <v:fill o:detectmouseclick="t" type="solid" color2="black"/>
                <v:stroke color="white" weight="9360" joinstyle="round" endcap="flat"/>
                <v:textbox>
                  <w:txbxContent>
                    <w:p>
                      <w:pPr>
                        <w:pStyle w:val="Contenudecadre"/>
                        <w:spacing w:before="0" w:after="160"/>
                        <w:rPr>
                          <w:sz w:val="20"/>
                          <w:szCs w:val="20"/>
                        </w:rPr>
                      </w:pPr>
                      <w:r>
                        <w:rPr>
                          <w:sz w:val="20"/>
                          <w:szCs w:val="20"/>
                        </w:rPr>
                        <w:t>Modification non désirée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85750" cy="285750"/>
            <wp:effectExtent l="0" t="0" r="0" b="0"/>
            <wp:docPr id="1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 descr=""/>
                    <pic:cNvPicPr>
                      <a:picLocks noChangeAspect="1" noChangeArrowheads="1"/>
                    </pic:cNvPicPr>
                  </pic:nvPicPr>
                  <pic:blipFill>
                    <a:blip r:embed="rId16"/>
                    <a:srcRect l="-504" t="-504" r="-504" b="-504"/>
                    <a:stretch>
                      <a:fillRect/>
                    </a:stretch>
                  </pic:blipFill>
                  <pic:spPr bwMode="auto">
                    <a:xfrm>
                      <a:off x="0" y="0"/>
                      <a:ext cx="285750"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7" wp14:anchorId="2C353ED3">
                <wp:simplePos x="0" y="0"/>
                <wp:positionH relativeFrom="column">
                  <wp:posOffset>572135</wp:posOffset>
                </wp:positionH>
                <wp:positionV relativeFrom="paragraph">
                  <wp:posOffset>3810</wp:posOffset>
                </wp:positionV>
                <wp:extent cx="2510155" cy="300355"/>
                <wp:effectExtent l="5715" t="5715" r="4445" b="4445"/>
                <wp:wrapSquare wrapText="bothSides"/>
                <wp:docPr id="18" name="Cadre7"/>
                <a:graphic xmlns:a="http://schemas.openxmlformats.org/drawingml/2006/main">
                  <a:graphicData uri="http://schemas.microsoft.com/office/word/2010/wordprocessingShape">
                    <wps:wsp>
                      <wps:cNvSpPr/>
                      <wps:spPr>
                        <a:xfrm>
                          <a:off x="0" y="0"/>
                          <a:ext cx="25102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Disparition de données</w:t>
                            </w:r>
                          </w:p>
                        </w:txbxContent>
                      </wps:txbx>
                      <wps:bodyPr anchor="t">
                        <a:noAutofit/>
                      </wps:bodyPr>
                    </wps:wsp>
                  </a:graphicData>
                </a:graphic>
              </wp:anchor>
            </w:drawing>
          </mc:Choice>
          <mc:Fallback>
            <w:pict>
              <v:rect id="shape_0" ID="Cadre7" path="m0,0l-2147483645,0l-2147483645,-2147483646l0,-2147483646xe" fillcolor="white" stroked="t" o:allowincell="f" style="position:absolute;margin-left:45.05pt;margin-top:0.3pt;width:197.6pt;height:23.6pt;mso-wrap-style:square;v-text-anchor:top" wp14:anchorId="2C353ED3">
                <v:fill o:detectmouseclick="t" type="solid" color2="black"/>
                <v:stroke color="white" weight="9360" joinstyle="round" endcap="flat"/>
                <v:textbox>
                  <w:txbxContent>
                    <w:p>
                      <w:pPr>
                        <w:pStyle w:val="Contenudecadre"/>
                        <w:spacing w:before="0" w:after="160"/>
                        <w:rPr>
                          <w:sz w:val="20"/>
                        </w:rPr>
                      </w:pPr>
                      <w:r>
                        <w:rPr>
                          <w:sz w:val="20"/>
                        </w:rPr>
                        <w:t>Disparition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52"/>
        <w:gridCol w:w="1651"/>
        <w:gridCol w:w="1653"/>
        <w:gridCol w:w="1652"/>
        <w:gridCol w:w="1651"/>
        <w:gridCol w:w="1652"/>
      </w:tblGrid>
      <w:tr>
        <w:trPr/>
        <w:tc>
          <w:tcPr>
            <w:tcW w:w="1652" w:type="dxa"/>
            <w:vMerge w:val="restart"/>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Gravité du risque</w:t>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Maximale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Importante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95275" cy="323850"/>
                  <wp:effectExtent l="0" t="0" r="0" b="0"/>
                  <wp:docPr id="19"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 descr=""/>
                          <pic:cNvPicPr>
                            <a:picLocks noChangeAspect="1" noChangeArrowheads="1"/>
                          </pic:cNvPicPr>
                        </pic:nvPicPr>
                        <pic:blipFill>
                          <a:blip r:embed="rId17"/>
                          <a:srcRect l="-488" t="-445" r="-488" b="-445"/>
                          <a:stretch>
                            <a:fillRect/>
                          </a:stretch>
                        </pic:blipFill>
                        <pic:spPr bwMode="auto">
                          <a:xfrm>
                            <a:off x="0" y="0"/>
                            <a:ext cx="295275" cy="323850"/>
                          </a:xfrm>
                          <a:prstGeom prst="rect">
                            <a:avLst/>
                          </a:prstGeom>
                        </pic:spPr>
                      </pic:pic>
                    </a:graphicData>
                  </a:graphic>
                </wp:inline>
              </w:drawing>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Limitée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76225" cy="285750"/>
                  <wp:effectExtent l="0" t="0" r="0" b="0"/>
                  <wp:docPr id="20"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 descr=""/>
                          <pic:cNvPicPr>
                            <a:picLocks noChangeAspect="1" noChangeArrowheads="1"/>
                          </pic:cNvPicPr>
                        </pic:nvPicPr>
                        <pic:blipFill>
                          <a:blip r:embed="rId18"/>
                          <a:srcRect l="-522" t="-504" r="-522" b="-504"/>
                          <a:stretch>
                            <a:fillRect/>
                          </a:stretch>
                        </pic:blipFill>
                        <pic:spPr bwMode="auto">
                          <a:xfrm>
                            <a:off x="0" y="0"/>
                            <a:ext cx="276225" cy="285750"/>
                          </a:xfrm>
                          <a:prstGeom prst="rect">
                            <a:avLst/>
                          </a:prstGeom>
                        </pic:spPr>
                      </pic:pic>
                    </a:graphicData>
                  </a:graphic>
                </wp:inline>
              </w:drawing>
            </w:r>
            <w:r>
              <w:rPr/>
              <w:drawing>
                <wp:inline distT="0" distB="0" distL="0" distR="0">
                  <wp:extent cx="285750" cy="285750"/>
                  <wp:effectExtent l="0" t="0" r="0" b="0"/>
                  <wp:docPr id="21"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 descr=""/>
                          <pic:cNvPicPr>
                            <a:picLocks noChangeAspect="1" noChangeArrowheads="1"/>
                          </pic:cNvPicPr>
                        </pic:nvPicPr>
                        <pic:blipFill>
                          <a:blip r:embed="rId19"/>
                          <a:srcRect l="-504" t="-504" r="-504" b="-504"/>
                          <a:stretch>
                            <a:fillRect/>
                          </a:stretch>
                        </pic:blipFill>
                        <pic:spPr bwMode="auto">
                          <a:xfrm>
                            <a:off x="0" y="0"/>
                            <a:ext cx="285750" cy="2857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Négligeable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33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center"/>
              <w:outlineLvl w:val="0"/>
              <w:rPr>
                <w:rFonts w:cs="Arial"/>
                <w:b/>
                <w:sz w:val="20"/>
                <w:szCs w:val="20"/>
              </w:rPr>
            </w:pPr>
            <w:r>
              <w:rPr>
                <w:rFonts w:cs="Arial"/>
                <w:b/>
                <w:sz w:val="20"/>
                <w:szCs w:val="20"/>
              </w:rPr>
              <w:t>Cartographie des risques</w:t>
            </w:r>
          </w:p>
        </w:tc>
        <w:tc>
          <w:tcPr>
            <w:tcW w:w="1653"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Limitée</w:t>
            </w:r>
          </w:p>
        </w:tc>
        <w:tc>
          <w:tcPr>
            <w:tcW w:w="1651"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Maximale</w:t>
            </w:r>
          </w:p>
        </w:tc>
      </w:tr>
      <w:tr>
        <w:trPr/>
        <w:tc>
          <w:tcPr>
            <w:tcW w:w="33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6608" w:type="dxa"/>
            <w:gridSpan w:val="4"/>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Vraisemblance du risque</w:t>
            </w:r>
          </w:p>
        </w:tc>
      </w:tr>
    </w:tbl>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r>
        <w:br w:type="page"/>
      </w:r>
    </w:p>
    <w:p>
      <w:pPr>
        <w:pStyle w:val="Normal"/>
        <w:numPr>
          <w:ilvl w:val="0"/>
          <w:numId w:val="0"/>
        </w:numPr>
        <w:spacing w:lineRule="auto" w:line="240" w:before="0" w:after="0"/>
        <w:jc w:val="left"/>
        <w:outlineLvl w:val="2"/>
        <w:rPr>
          <w:rFonts w:cs="Calibri Light"/>
          <w:highlight w:val="yellow"/>
        </w:rPr>
      </w:pPr>
      <w:bookmarkStart w:id="56" w:name="__RefHeading___Toc134541016"/>
      <w:bookmarkEnd w:id="56"/>
      <w:r>
        <w:rPr>
          <w:rFonts w:cs="Calibri Light"/>
          <w:highlight w:val="yellow"/>
        </w:rPr>
        <w:t>5.1.3. Plan d’actions (si mesures correctives prévues) :</w:t>
      </w:r>
    </w:p>
    <w:p>
      <w:pPr>
        <w:pStyle w:val="Normal"/>
        <w:spacing w:lineRule="auto" w:line="240" w:before="120" w:after="0"/>
        <w:rPr>
          <w:rFonts w:ascii="Calibri Light" w:hAnsi="Calibri Light" w:cs="Calibri Light"/>
          <w:b/>
          <w:bCs/>
          <w:sz w:val="20"/>
          <w:szCs w:val="20"/>
        </w:rPr>
      </w:pPr>
      <w:r>
        <w:rPr>
          <w:rFonts w:cs="Calibri Light" w:ascii="Calibri Light" w:hAnsi="Calibri Light"/>
          <w:b/>
          <w:bCs/>
          <w:sz w:val="20"/>
          <w:szCs w:val="20"/>
        </w:rPr>
      </w:r>
    </w:p>
    <w:tbl>
      <w:tblPr>
        <w:tblW w:w="9918"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396"/>
        <w:gridCol w:w="3544"/>
        <w:gridCol w:w="2978"/>
      </w:tblGrid>
      <w:tr>
        <w:trPr/>
        <w:tc>
          <w:tcPr>
            <w:tcW w:w="3396"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 xml:space="preserve">Mesures à améliorer </w:t>
            </w:r>
          </w:p>
        </w:tc>
        <w:tc>
          <w:tcPr>
            <w:tcW w:w="3544"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Mesures correctives prévues</w:t>
            </w:r>
          </w:p>
        </w:tc>
        <w:tc>
          <w:tcPr>
            <w:tcW w:w="2978"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Calendrier</w:t>
            </w:r>
          </w:p>
        </w:tc>
      </w:tr>
      <w:tr>
        <w:trPr/>
        <w:tc>
          <w:tcPr>
            <w:tcW w:w="3396"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r>
        <w:trPr/>
        <w:tc>
          <w:tcPr>
            <w:tcW w:w="339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r>
        <w:trPr/>
        <w:tc>
          <w:tcPr>
            <w:tcW w:w="3396"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bl>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r>
    </w:p>
    <w:p>
      <w:pPr>
        <w:pStyle w:val="Titre2"/>
        <w:numPr>
          <w:ilvl w:val="1"/>
          <w:numId w:val="1"/>
        </w:numPr>
        <w:rPr>
          <w:rFonts w:cs="Calibri Light"/>
          <w:bCs w:val="false"/>
        </w:rPr>
      </w:pPr>
      <w:bookmarkStart w:id="57" w:name="__RefHeading___Toc134541017"/>
      <w:bookmarkEnd w:id="57"/>
      <w:r>
        <w:rPr>
          <w:rFonts w:cs="Calibri Light"/>
          <w:bCs w:val="false"/>
        </w:rPr>
        <w:t>5.2. Validation formelle</w:t>
      </w:r>
    </w:p>
    <w:p>
      <w:pPr>
        <w:pStyle w:val="Normal"/>
        <w:rPr>
          <w:rFonts w:ascii="Calibri Light" w:hAnsi="Calibri Light" w:cs="Calibri Light"/>
          <w:sz w:val="20"/>
          <w:szCs w:val="20"/>
        </w:rPr>
      </w:pPr>
      <w:r>
        <w:rPr>
          <w:rFonts w:cs="Calibri Light" w:ascii="Calibri Light" w:hAnsi="Calibri Light"/>
          <w:sz w:val="20"/>
          <w:szCs w:val="20"/>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t xml:space="preserve">Avis du délégué à la protection des données : </w:t>
      </w:r>
    </w:p>
    <w:p>
      <w:pPr>
        <w:pStyle w:val="Normal"/>
        <w:spacing w:lineRule="auto" w:line="240" w:before="0" w:after="0"/>
        <w:jc w:val="left"/>
        <w:rPr>
          <w:rFonts w:ascii="Calibri Light" w:hAnsi="Calibri Light" w:cs="Calibri Light"/>
          <w:b/>
          <w:sz w:val="20"/>
          <w:szCs w:val="20"/>
          <w:highlight w:val="yellow"/>
          <w:lang w:eastAsia="en-US"/>
        </w:rPr>
      </w:pPr>
      <w:r>
        <w:rPr>
          <w:rFonts w:cs="Calibri Light" w:ascii="Calibri Light" w:hAnsi="Calibri Light"/>
          <w:b/>
          <w:sz w:val="20"/>
          <w:szCs w:val="20"/>
          <w:highlight w:val="yellow"/>
          <w:lang w:eastAsia="en-US"/>
        </w:rPr>
      </w:r>
    </w:p>
    <w:p>
      <w:pPr>
        <w:pStyle w:val="Normal"/>
        <w:spacing w:lineRule="auto" w:line="240" w:before="0" w:after="0"/>
        <w:jc w:val="left"/>
        <w:rPr>
          <w:sz w:val="20"/>
          <w:szCs w:val="20"/>
          <w:highlight w:val="yellow"/>
          <w:lang w:eastAsia="en-US"/>
        </w:rPr>
      </w:pPr>
      <w:r>
        <w:rPr>
          <w:sz w:val="20"/>
          <w:szCs w:val="20"/>
          <w:highlight w:val="yellow"/>
          <w:lang w:eastAsia="en-US"/>
        </w:rPr>
        <w:t>[A compléter]</w:t>
      </w:r>
    </w:p>
    <w:p>
      <w:pPr>
        <w:pStyle w:val="Normal"/>
        <w:spacing w:lineRule="auto" w:line="240" w:before="120" w:after="0"/>
        <w:rPr>
          <w:rFonts w:ascii="Calibri Light" w:hAnsi="Calibri Light" w:cs="Calibri Light"/>
          <w:b/>
          <w:sz w:val="20"/>
          <w:szCs w:val="20"/>
          <w:lang w:eastAsia="en-US"/>
        </w:rPr>
      </w:pPr>
      <w:r>
        <w:rPr>
          <w:rFonts w:cs="Calibri Light" w:ascii="Calibri Light" w:hAnsi="Calibri Light"/>
          <w:b/>
          <w:sz w:val="20"/>
          <w:szCs w:val="20"/>
          <w:lang w:eastAsia="en-US"/>
        </w:rPr>
      </w:r>
    </w:p>
    <w:p>
      <w:pPr>
        <w:pStyle w:val="Normal"/>
        <w:spacing w:lineRule="auto" w:line="240" w:before="120" w:after="0"/>
        <w:rPr>
          <w:rFonts w:ascii="Calibri Light" w:hAnsi="Calibri Light" w:cs="Calibri Light"/>
          <w:b/>
          <w:sz w:val="20"/>
          <w:szCs w:val="20"/>
          <w:lang w:eastAsia="en-US"/>
        </w:rPr>
      </w:pPr>
      <w:r>
        <w:rPr>
          <w:rFonts w:cs="Calibri Light" w:ascii="Calibri Light" w:hAnsi="Calibri Light"/>
          <w:b/>
          <w:sz w:val="20"/>
          <w:szCs w:val="20"/>
          <w:lang w:eastAsia="en-US"/>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t>Validation par le responsable de traitement</w:t>
      </w:r>
    </w:p>
    <w:p>
      <w:pPr>
        <w:pStyle w:val="Normal"/>
        <w:spacing w:lineRule="auto" w:line="240" w:before="0" w:after="0"/>
        <w:jc w:val="left"/>
        <w:rPr>
          <w:rFonts w:ascii="Calibri Light" w:hAnsi="Calibri Light" w:cs="Calibri Light"/>
          <w:b/>
          <w:sz w:val="20"/>
          <w:szCs w:val="20"/>
          <w:highlight w:val="yellow"/>
          <w:lang w:eastAsia="en-US"/>
        </w:rPr>
      </w:pPr>
      <w:r>
        <w:rPr>
          <w:rFonts w:cs="Calibri Light" w:ascii="Calibri Light" w:hAnsi="Calibri Light"/>
          <w:b/>
          <w:sz w:val="20"/>
          <w:szCs w:val="20"/>
          <w:highlight w:val="yellow"/>
          <w:lang w:eastAsia="en-US"/>
        </w:rPr>
      </w:r>
    </w:p>
    <w:p>
      <w:pPr>
        <w:pStyle w:val="Normal"/>
        <w:spacing w:lineRule="auto" w:line="240" w:before="0" w:after="0"/>
        <w:jc w:val="left"/>
        <w:rPr>
          <w:sz w:val="20"/>
          <w:szCs w:val="20"/>
          <w:highlight w:val="yellow"/>
          <w:lang w:eastAsia="en-US"/>
        </w:rPr>
      </w:pPr>
      <w:r>
        <w:rPr>
          <w:sz w:val="20"/>
          <w:szCs w:val="20"/>
          <w:highlight w:val="yellow"/>
          <w:lang w:eastAsia="en-US"/>
        </w:rPr>
        <w:t>[A compléter]</w:t>
      </w:r>
    </w:p>
    <w:p>
      <w:pPr>
        <w:pStyle w:val="Normal"/>
        <w:spacing w:lineRule="auto" w:line="240" w:before="120" w:after="0"/>
        <w:rPr>
          <w:rFonts w:ascii="Calibri Light" w:hAnsi="Calibri Light" w:cs="Calibri Light"/>
          <w:bCs/>
          <w:sz w:val="20"/>
          <w:szCs w:val="20"/>
          <w:lang w:eastAsia="en-US"/>
        </w:rPr>
      </w:pPr>
      <w:r>
        <w:rPr>
          <w:rFonts w:cs="Calibri Light" w:ascii="Calibri Light" w:hAnsi="Calibri Light"/>
          <w:bCs/>
          <w:sz w:val="20"/>
          <w:szCs w:val="20"/>
          <w:lang w:eastAsia="en-US"/>
        </w:rPr>
      </w:r>
    </w:p>
    <w:p>
      <w:pPr>
        <w:pStyle w:val="Normal"/>
        <w:spacing w:lineRule="auto" w:line="240" w:before="120" w:after="0"/>
        <w:rPr/>
      </w:pPr>
      <w:r>
        <w:rPr>
          <w:rFonts w:cs="Calibri Light" w:ascii="Calibri Light" w:hAnsi="Calibri Light"/>
          <w:bCs/>
          <w:sz w:val="20"/>
          <w:szCs w:val="20"/>
        </w:rPr>
        <w:t>Le (</w:t>
      </w:r>
      <w:r>
        <w:rPr>
          <w:rFonts w:cs="Calibri Light" w:ascii="Calibri Light" w:hAnsi="Calibri Light"/>
          <w:bCs/>
          <w:i/>
          <w:iCs/>
          <w:sz w:val="20"/>
          <w:szCs w:val="20"/>
        </w:rPr>
        <w:t>responsable du traitement)</w:t>
      </w:r>
      <w:r>
        <w:rPr>
          <w:rFonts w:cs="Calibri Light" w:ascii="Calibri Light" w:hAnsi="Calibri Light"/>
          <w:bCs/>
          <w:sz w:val="20"/>
          <w:szCs w:val="20"/>
        </w:rPr>
        <w:t xml:space="preserve"> atteste que la présente analyse décrit la mise en œuvre du traitement. Il estime le niveau des risques résiduels pour les droits et les libertés des personnes concernées comme suffisamment faible et acceptable et s’engage à traiter les données conformément à la présente analyse, au règlement général sur la protection des données et la loi n°78-1978 modifiée relative à l’informatique, aux fichiers et aux libertés.</w:t>
      </w:r>
    </w:p>
    <w:p>
      <w:pPr>
        <w:pStyle w:val="Normal"/>
        <w:spacing w:lineRule="auto" w:line="240" w:before="120" w:after="0"/>
        <w:rPr>
          <w:rFonts w:ascii="Calibri Light" w:hAnsi="Calibri Light" w:cs="Calibri Light"/>
          <w:bCs/>
          <w:sz w:val="20"/>
          <w:szCs w:val="20"/>
        </w:rPr>
      </w:pPr>
      <w:r>
        <w:rPr>
          <w:rFonts w:cs="Calibri Light" w:ascii="Calibri Light" w:hAnsi="Calibri Light"/>
          <w:bCs/>
          <w:sz w:val="20"/>
          <w:szCs w:val="20"/>
        </w:rPr>
      </w:r>
      <w:r>
        <w:br w:type="page"/>
      </w:r>
    </w:p>
    <w:p>
      <w:pPr>
        <w:pStyle w:val="Titre1"/>
        <w:numPr>
          <w:ilvl w:val="0"/>
          <w:numId w:val="1"/>
        </w:numPr>
        <w:rPr>
          <w:rFonts w:ascii="Calibri Light" w:hAnsi="Calibri Light" w:cs="Calibri Light"/>
        </w:rPr>
      </w:pPr>
      <w:bookmarkStart w:id="58" w:name="__RefHeading___Toc134541018"/>
      <w:bookmarkEnd w:id="58"/>
      <w:r>
        <w:rPr>
          <w:rFonts w:cs="Calibri Light" w:ascii="Calibri Light" w:hAnsi="Calibri Light"/>
        </w:rPr>
        <w:t>6. Annexes</w:t>
      </w:r>
    </w:p>
    <w:p>
      <w:pPr>
        <w:pStyle w:val="P-B"/>
        <w:rPr>
          <w:rFonts w:ascii="Calibri Light" w:hAnsi="Calibri Light" w:cs="Calibri Light"/>
        </w:rPr>
      </w:pPr>
      <w:r>
        <w:rPr>
          <w:rFonts w:cs="Calibri Light" w:ascii="Calibri Light" w:hAnsi="Calibri Light"/>
        </w:rPr>
        <w:t>Echelles d’analyse des risques :</w:t>
      </w:r>
    </w:p>
    <w:p>
      <w:pPr>
        <w:pStyle w:val="B1"/>
        <w:numPr>
          <w:ilvl w:val="0"/>
          <w:numId w:val="2"/>
        </w:numPr>
        <w:rPr>
          <w:rFonts w:ascii="Calibri Light" w:hAnsi="Calibri Light" w:cs="Calibri Light"/>
        </w:rPr>
      </w:pPr>
      <w:r>
        <w:rPr>
          <w:rFonts w:cs="Calibri Light" w:ascii="Calibri Light" w:hAnsi="Calibri Light"/>
        </w:rPr>
        <w:t xml:space="preserve">Echelle de gravité </w:t>
      </w:r>
    </w:p>
    <w:p>
      <w:pPr>
        <w:sectPr>
          <w:headerReference w:type="default" r:id="rId20"/>
          <w:headerReference w:type="first" r:id="rId21"/>
          <w:footerReference w:type="default" r:id="rId22"/>
          <w:footerReference w:type="first" r:id="rId23"/>
          <w:type w:val="nextPage"/>
          <w:pgSz w:w="11906" w:h="16838"/>
          <w:pgMar w:left="992" w:right="992" w:gutter="0" w:header="709" w:top="1383" w:footer="289" w:bottom="828"/>
          <w:pgNumType w:fmt="decimal"/>
          <w:formProt w:val="false"/>
          <w:textDirection w:val="lrTb"/>
          <w:docGrid w:type="default" w:linePitch="600" w:charSpace="36864"/>
        </w:sectPr>
        <w:pStyle w:val="B1"/>
        <w:numPr>
          <w:ilvl w:val="0"/>
          <w:numId w:val="2"/>
        </w:numPr>
        <w:rPr>
          <w:rFonts w:ascii="Calibri Light" w:hAnsi="Calibri Light" w:cs="Calibri Light"/>
        </w:rPr>
      </w:pPr>
      <w:r>
        <w:rPr>
          <w:rFonts w:cs="Calibri Light" w:ascii="Calibri Light" w:hAnsi="Calibri Light"/>
        </w:rPr>
        <w:t xml:space="preserve">Echelle de vraisemblance (cf. partie  REF _Ref514201510 \n \h </w:t>
      </w:r>
    </w:p>
    <w:p>
      <w:pPr>
        <w:pStyle w:val="Titre2"/>
        <w:numPr>
          <w:ilvl w:val="1"/>
          <w:numId w:val="1"/>
        </w:numPr>
        <w:rPr>
          <w:rFonts w:cs="Calibri Light"/>
          <w:color w:val="FFFFFF"/>
          <w:szCs w:val="20"/>
        </w:rPr>
      </w:pPr>
      <w:r>
        <w:rPr>
          <w:rFonts w:cs="Calibri Light"/>
          <w:color w:val="FFFFFF"/>
          <w:szCs w:val="20"/>
        </w:rPr>
      </w:r>
    </w:p>
    <w:tbl>
      <w:tblPr>
        <w:tblW w:w="14524" w:type="dxa"/>
        <w:jc w:val="left"/>
        <w:tblInd w:w="-193" w:type="dxa"/>
        <w:tblLayout w:type="fixed"/>
        <w:tblCellMar>
          <w:top w:w="0" w:type="dxa"/>
          <w:left w:w="88" w:type="dxa"/>
          <w:bottom w:w="0" w:type="dxa"/>
          <w:right w:w="108" w:type="dxa"/>
        </w:tblCellMar>
        <w:tblLook w:firstRow="0" w:noVBand="0" w:lastRow="0" w:firstColumn="0" w:lastColumn="0" w:noHBand="0" w:val="0000"/>
      </w:tblPr>
      <w:tblGrid>
        <w:gridCol w:w="2271"/>
        <w:gridCol w:w="3394"/>
        <w:gridCol w:w="2407"/>
        <w:gridCol w:w="3246"/>
        <w:gridCol w:w="3206"/>
      </w:tblGrid>
      <w:tr>
        <w:trPr>
          <w:trHeight w:val="464" w:hRule="atLeast"/>
          <w:cantSplit w:val="true"/>
        </w:trPr>
        <w:tc>
          <w:tcPr>
            <w:tcW w:w="2271"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Niveaux de gravité</w:t>
            </w:r>
          </w:p>
        </w:tc>
        <w:tc>
          <w:tcPr>
            <w:tcW w:w="3394"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Descriptions génériques des impacts (directs et indirects)</w:t>
            </w:r>
          </w:p>
        </w:tc>
        <w:tc>
          <w:tcPr>
            <w:tcW w:w="2407"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corporels</w:t>
            </w:r>
          </w:p>
        </w:tc>
        <w:tc>
          <w:tcPr>
            <w:tcW w:w="3246"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matériels</w:t>
            </w:r>
          </w:p>
        </w:tc>
        <w:tc>
          <w:tcPr>
            <w:tcW w:w="3206" w:type="dxa"/>
            <w:tcBorders>
              <w:top w:val="single" w:sz="4" w:space="0" w:color="000080"/>
              <w:left w:val="single" w:sz="4" w:space="0" w:color="000080"/>
              <w:bottom w:val="single" w:sz="4" w:space="0" w:color="000080"/>
              <w:right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moraux</w:t>
            </w:r>
          </w:p>
        </w:tc>
      </w:tr>
      <w:tr>
        <w:trPr>
          <w:trHeight w:val="1192" w:hRule="atLeast"/>
          <w:cantSplit w:val="true"/>
        </w:trPr>
        <w:tc>
          <w:tcPr>
            <w:tcW w:w="2271" w:type="dxa"/>
            <w:tcBorders>
              <w:top w:val="single" w:sz="4" w:space="0" w:color="000080"/>
              <w:left w:val="single" w:sz="4" w:space="0" w:color="000080"/>
              <w:bottom w:val="single" w:sz="4" w:space="0" w:color="000080"/>
            </w:tcBorders>
            <w:shd w:color="auto" w:fill="E1F5D1"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Négligeable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ne seront pas impactées ou pourraient connaître quelques désagréments, qu’elles surmonteront sans difficulté.</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Absence de prise en charge adéquate d’une personne non autonome (mineur, personne sous tutelle)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Maux de tête passagers</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temps pour réitérer des démarches ou pour attendre de les réaliser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Réception de courriers non sollicités (ex. : spams)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Réutilisation de données publiées sur des sites Internet à des fins de publicité ciblée (information des réseaux sociaux réutilisation pour un mailing papier)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Publicité ciblée pour des produits de consommation courants</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Simple contrariété par rapport à l’information reçue ou demandée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Peur de perdre le contrôle de ses données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Sentiment d’atteinte à la vie privée sans préjudice réel ni objectif (ex : intrusion commerciale)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temps pour paramétrer ses données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Non-respect de la liberté d’aller et venir en ligne du fait du refus d’accès à un site commercial (ex : alcool du fait d’un âge erroné)</w:t>
            </w:r>
          </w:p>
        </w:tc>
      </w:tr>
      <w:tr>
        <w:trPr>
          <w:trHeight w:val="1050" w:hRule="atLeast"/>
          <w:cantSplit w:val="true"/>
        </w:trPr>
        <w:tc>
          <w:tcPr>
            <w:tcW w:w="2271" w:type="dxa"/>
            <w:tcBorders>
              <w:top w:val="single" w:sz="4" w:space="0" w:color="000080"/>
              <w:left w:val="single" w:sz="4" w:space="0" w:color="000080"/>
              <w:bottom w:val="single" w:sz="4" w:space="0" w:color="000080"/>
            </w:tcBorders>
            <w:shd w:color="auto" w:fill="FFF4CC"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Limitée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désagréments significatifs, qu’elles pourront surmonter malgré quelques difficultés</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mineure (ex. : maladie bénigne suite au non- respect de contre-indications)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Absence de prise en charge causant un préjudice minime mais réel (ex : handicap)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Diffamation donnant lieu à des représailles physiques ou psychiques</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Paiements non prévus (ex. : amendes attribuées de manière erronée), frais supplémentaires (ex. : agios, frais d’avocat), défauts de paiement</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Refus d’accès à des services administratifs ou prestations commerciales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Opportunités de confort perdues (ex. : annulation de loisirs, d’achats, de vacances, fermeture d’un compte en ligne)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Promotion professionnelle manquée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Compte à des services en ligne bloqué (ex. : jeux, administration)</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Réception de courriers ciblés non sollicités susceptible de nuire à la réputation des personnes concernées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Élévation de coûts (ex. : augmentation du prix d’assurance)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Données non mises à jour (ex. : poste antérieurement occupé)</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Traitement de données erronées créant par exemple des dysfonctionnements de comptes (bancaires, clients, auprès d’organismes sociaux, etc.)</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Publicité ciblée en ligne sur un aspect vie privée que la personne souhaitait garder confidentiel (ex : publicité grossesse, traitement pharmaceutique)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Profilage imprécis ou abusif</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pPr>
            <w:r>
              <w:rPr>
                <w:rFonts w:cs="Calibri Light" w:ascii="Calibri Light" w:hAnsi="Calibri Light"/>
                <w:sz w:val="20"/>
                <w:szCs w:val="20"/>
              </w:rPr>
              <w:t>Refus de continuer à utiliser les systèmes d’information (</w:t>
            </w:r>
            <w:r>
              <w:rPr>
                <w:rFonts w:cs="Calibri Light" w:ascii="Calibri Light" w:hAnsi="Calibri Light"/>
                <w:i/>
                <w:sz w:val="20"/>
                <w:szCs w:val="20"/>
              </w:rPr>
              <w:t>whistleblowing</w:t>
            </w:r>
            <w:r>
              <w:rPr>
                <w:rFonts w:cs="Calibri Light" w:ascii="Calibri Light" w:hAnsi="Calibri Light"/>
                <w:sz w:val="20"/>
                <w:szCs w:val="20"/>
              </w:rPr>
              <w:t>, réseaux sociaux)</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Affection psychologique mineure mais objective (diffamation, réputation)</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Difficultés relationnelles avec l’entourage personnel ou professionnel (ex. : image, réputation ternie, perte de reconnaissance)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Sentiment d’atteinte à la vie privée sans préjudice irrémédiable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Intimidation sur les réseaux sociaux</w:t>
            </w:r>
          </w:p>
        </w:tc>
      </w:tr>
      <w:tr>
        <w:trPr>
          <w:trHeight w:val="82" w:hRule="atLeast"/>
          <w:cantSplit w:val="true"/>
        </w:trPr>
        <w:tc>
          <w:tcPr>
            <w:tcW w:w="2271" w:type="dxa"/>
            <w:tcBorders>
              <w:top w:val="single" w:sz="4" w:space="0" w:color="000080"/>
              <w:left w:val="single" w:sz="4" w:space="0" w:color="000080"/>
              <w:bottom w:val="single" w:sz="4" w:space="0" w:color="000080"/>
            </w:tcBorders>
            <w:shd w:color="auto" w:fill="FFE2CC"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Importante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conséquences significatives, qu’elles devraient pouvoir surmonter, mais avec des difficultés réelles et significatives.</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grave causant un préjudice à long terme (ex. : aggravation de l’état de santé suite à une mauvaise prise en charge, ou au non- respect de contre-indications)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Altération de l’intégrité corporelle par exemple à la suite d’une agression, d’un accident domestique, de travail, etc.</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Détournements d’argent non indemnisé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Difficultés financières non temporaires (ex. : obligation de contracter un prêt)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Opportunités ciblées, uniques et non récurrentes, perdues (ex. : prêt immobilier, refus d’études, de stages ou d’emploi, interdiction d’examen)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Interdiction bancaire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Dégradation de biens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logement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d’emploi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Séparation ou divorce </w:t>
            </w:r>
          </w:p>
          <w:p>
            <w:pPr>
              <w:pStyle w:val="Normal"/>
              <w:widowControl w:val="false"/>
              <w:numPr>
                <w:ilvl w:val="0"/>
                <w:numId w:val="2"/>
              </w:numPr>
              <w:spacing w:lineRule="auto" w:line="240" w:before="0" w:after="0"/>
              <w:rPr/>
            </w:pPr>
            <w:r>
              <w:rPr>
                <w:rFonts w:cs="Calibri Light" w:ascii="Calibri Light" w:hAnsi="Calibri Light"/>
                <w:sz w:val="20"/>
                <w:szCs w:val="20"/>
              </w:rPr>
              <w:t xml:space="preserve">Perte financière à la suite d’une escroquerie (ex. : après une tentative d’hameçonnage / </w:t>
            </w:r>
            <w:r>
              <w:rPr>
                <w:rFonts w:cs="Calibri Light" w:ascii="Calibri Light" w:hAnsi="Calibri Light"/>
                <w:i/>
                <w:sz w:val="20"/>
                <w:szCs w:val="20"/>
              </w:rPr>
              <w:t>phishing</w:t>
            </w:r>
            <w:r>
              <w:rPr>
                <w:rFonts w:cs="Calibri Light" w:ascii="Calibri Light" w:hAnsi="Calibri Light"/>
                <w:sz w:val="20"/>
                <w:szCs w:val="20"/>
              </w:rPr>
              <w:t xml:space="preserv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Bloqué à l’étranger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données clientèle</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Affection psychologique grave (ex. : dépression, développement d’une phobie)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d’atteinte à la vie privée et de préjudice irrémédiable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de vulnérabilité à la suite d’une assignation en justice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d’atteinte aux droits fondamentaux (ex. : discrimination, liberté d’expression) </w:t>
            </w:r>
          </w:p>
          <w:p>
            <w:pPr>
              <w:pStyle w:val="Normal"/>
              <w:widowControl w:val="false"/>
              <w:numPr>
                <w:ilvl w:val="0"/>
                <w:numId w:val="2"/>
              </w:numPr>
              <w:spacing w:lineRule="auto" w:line="240" w:before="0" w:after="0"/>
              <w:rPr/>
            </w:pPr>
            <w:r>
              <w:rPr>
                <w:rFonts w:cs="Calibri Light" w:ascii="Calibri Light" w:hAnsi="Calibri Light"/>
                <w:sz w:val="20"/>
                <w:szCs w:val="20"/>
              </w:rPr>
              <w:t xml:space="preserve">Victime de chantage - </w:t>
            </w:r>
            <w:r>
              <w:rPr>
                <w:rFonts w:cs="Calibri Light" w:ascii="Calibri Light" w:hAnsi="Calibri Light"/>
                <w:i/>
                <w:sz w:val="20"/>
                <w:szCs w:val="20"/>
              </w:rPr>
              <w:t>Cyberbullying</w:t>
            </w:r>
            <w:r>
              <w:rPr>
                <w:rFonts w:cs="Calibri Light" w:ascii="Calibri Light" w:hAnsi="Calibri Light"/>
                <w:sz w:val="20"/>
                <w:szCs w:val="20"/>
              </w:rPr>
              <w:t xml:space="preserve"> et harcèlement moral</w:t>
            </w:r>
          </w:p>
        </w:tc>
      </w:tr>
      <w:tr>
        <w:trPr>
          <w:trHeight w:val="82" w:hRule="atLeast"/>
          <w:cantSplit w:val="true"/>
        </w:trPr>
        <w:tc>
          <w:tcPr>
            <w:tcW w:w="2271" w:type="dxa"/>
            <w:tcBorders>
              <w:top w:val="single" w:sz="4" w:space="0" w:color="000080"/>
              <w:left w:val="single" w:sz="4" w:space="0" w:color="000080"/>
              <w:bottom w:val="single" w:sz="4" w:space="0" w:color="000080"/>
            </w:tcBorders>
            <w:shd w:color="auto" w:fill="FFC5D2"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Maximale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conséquences significatives, voire irrémédiables, qu’elles pourraient ne pas surmonter</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de longue durée ou permanente (ex. : suite au non-respect d’une contre-indication)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Décès (ex. : meurtre, suicide, accident mortel) - Altération définitive de l’intégrité physique</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Péril financier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Dettes importantes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 travailler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 se reloger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preuves dans le cadre d’un contentieux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d’accès à une infrastructure vitale (eau, électricité)</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psychologique de longue durée ou permanente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Sanction pénale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Enlèvement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lien familial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d’ester en justice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Changement de statut administratif et/ou perte d’autonomie juridique (tutelle)</w:t>
            </w:r>
          </w:p>
        </w:tc>
      </w:tr>
    </w:tbl>
    <w:p>
      <w:pPr>
        <w:sectPr>
          <w:headerReference w:type="default" r:id="rId24"/>
          <w:headerReference w:type="first" r:id="rId25"/>
          <w:footerReference w:type="default" r:id="rId26"/>
          <w:footerReference w:type="first" r:id="rId27"/>
          <w:type w:val="nextPage"/>
          <w:pgSz w:orient="landscape" w:w="16838" w:h="11906"/>
          <w:pgMar w:left="828" w:right="1383" w:gutter="0" w:header="709" w:top="992" w:footer="289" w:bottom="992"/>
          <w:pgNumType w:fmt="decimal"/>
          <w:formProt w:val="false"/>
          <w:textDirection w:val="lrTb"/>
          <w:docGrid w:type="default" w:linePitch="600" w:charSpace="36864"/>
        </w:sectPr>
      </w:pPr>
    </w:p>
    <w:p>
      <w:pPr>
        <w:pStyle w:val="Titre2"/>
        <w:numPr>
          <w:ilvl w:val="1"/>
          <w:numId w:val="1"/>
        </w:numPr>
        <w:rPr>
          <w:rFonts w:cs="Calibri Light"/>
          <w:color w:val="FFFFFF"/>
          <w:szCs w:val="20"/>
        </w:rPr>
      </w:pPr>
      <w:r>
        <w:rPr>
          <w:rFonts w:cs="Calibri Light"/>
          <w:color w:val="FFFFFF"/>
          <w:szCs w:val="20"/>
        </w:rPr>
      </w:r>
    </w:p>
    <w:tbl>
      <w:tblPr>
        <w:tblW w:w="10287" w:type="dxa"/>
        <w:jc w:val="left"/>
        <w:tblInd w:w="-193" w:type="dxa"/>
        <w:tblLayout w:type="fixed"/>
        <w:tblCellMar>
          <w:top w:w="0" w:type="dxa"/>
          <w:left w:w="88" w:type="dxa"/>
          <w:bottom w:w="0" w:type="dxa"/>
          <w:right w:w="108" w:type="dxa"/>
        </w:tblCellMar>
        <w:tblLook w:firstRow="0" w:noVBand="0" w:lastRow="0" w:firstColumn="0" w:lastColumn="0" w:noHBand="0" w:val="0000"/>
      </w:tblPr>
      <w:tblGrid>
        <w:gridCol w:w="2752"/>
        <w:gridCol w:w="7534"/>
      </w:tblGrid>
      <w:tr>
        <w:trPr>
          <w:trHeight w:val="823" w:hRule="atLeast"/>
        </w:trPr>
        <w:tc>
          <w:tcPr>
            <w:tcW w:w="2752" w:type="dxa"/>
            <w:tcBorders>
              <w:top w:val="single" w:sz="4" w:space="0" w:color="000080"/>
              <w:left w:val="single" w:sz="4" w:space="0" w:color="000080"/>
              <w:bottom w:val="single" w:sz="4" w:space="0" w:color="000080"/>
            </w:tcBorders>
            <w:shd w:color="auto" w:fill="2BAACD" w:val="clear"/>
            <w:vAlign w:val="center"/>
          </w:tcPr>
          <w:p>
            <w:pPr>
              <w:pStyle w:val="Normal"/>
              <w:widowControl w:val="false"/>
              <w:numPr>
                <w:ilvl w:val="0"/>
                <w:numId w:val="2"/>
              </w:numPr>
              <w:spacing w:before="0" w:after="160"/>
              <w:rPr>
                <w:rFonts w:ascii="Calibri Light" w:hAnsi="Calibri Light" w:cs="Calibri Light"/>
                <w:b/>
                <w:color w:val="FFFFFF"/>
                <w:sz w:val="20"/>
                <w:szCs w:val="20"/>
              </w:rPr>
            </w:pPr>
            <w:r>
              <w:rPr>
                <w:rFonts w:cs="Calibri Light" w:ascii="Calibri Light" w:hAnsi="Calibri Light"/>
                <w:b/>
                <w:color w:val="FFFFFF"/>
                <w:sz w:val="20"/>
                <w:szCs w:val="20"/>
              </w:rPr>
              <w:t>Niveaux de vraisemblance</w:t>
            </w:r>
          </w:p>
        </w:tc>
        <w:tc>
          <w:tcPr>
            <w:tcW w:w="7534" w:type="dxa"/>
            <w:tcBorders>
              <w:top w:val="single" w:sz="4" w:space="0" w:color="000080"/>
              <w:left w:val="single" w:sz="4" w:space="0" w:color="000080"/>
              <w:bottom w:val="single" w:sz="4" w:space="0" w:color="000080"/>
              <w:right w:val="single" w:sz="4" w:space="0" w:color="000080"/>
            </w:tcBorders>
            <w:shd w:color="auto" w:fill="2BAACD" w:val="clear"/>
            <w:vAlign w:val="center"/>
          </w:tcPr>
          <w:p>
            <w:pPr>
              <w:pStyle w:val="Normal"/>
              <w:widowControl w:val="false"/>
              <w:numPr>
                <w:ilvl w:val="0"/>
                <w:numId w:val="2"/>
              </w:numPr>
              <w:spacing w:before="0" w:after="160"/>
              <w:rPr>
                <w:rFonts w:ascii="Calibri Light" w:hAnsi="Calibri Light" w:cs="Calibri Light"/>
                <w:b/>
                <w:color w:val="FFFFFF"/>
                <w:sz w:val="20"/>
                <w:szCs w:val="20"/>
              </w:rPr>
            </w:pPr>
            <w:r>
              <w:rPr>
                <w:rFonts w:cs="Calibri Light" w:ascii="Calibri Light" w:hAnsi="Calibri Light"/>
                <w:b/>
                <w:color w:val="FFFFFF"/>
                <w:sz w:val="20"/>
                <w:szCs w:val="20"/>
              </w:rPr>
              <w:t>Description générique du niveau de vraisemblance d’une menace donnée</w:t>
            </w:r>
          </w:p>
        </w:tc>
      </w:tr>
      <w:tr>
        <w:trPr/>
        <w:tc>
          <w:tcPr>
            <w:tcW w:w="2752" w:type="dxa"/>
            <w:tcBorders>
              <w:top w:val="single" w:sz="4" w:space="0" w:color="000080"/>
              <w:left w:val="single" w:sz="4" w:space="0" w:color="000080"/>
              <w:bottom w:val="single" w:sz="4" w:space="0" w:color="000080"/>
            </w:tcBorders>
            <w:shd w:color="auto" w:fill="E1F5D1"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Négligeable</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ne semble pas possible que les sources de risques retenues puissent réaliser la menace en s’appuyant sur les caractéristiques des supports (ex. : vol de supports papiers stockés dans un local de l’organisme dont l’accès est contrôlé par badge et code d’accès).</w:t>
            </w:r>
          </w:p>
        </w:tc>
      </w:tr>
      <w:tr>
        <w:trPr/>
        <w:tc>
          <w:tcPr>
            <w:tcW w:w="2752" w:type="dxa"/>
            <w:tcBorders>
              <w:top w:val="single" w:sz="4" w:space="0" w:color="000080"/>
              <w:left w:val="single" w:sz="4" w:space="0" w:color="000080"/>
              <w:bottom w:val="single" w:sz="4" w:space="0" w:color="000080"/>
            </w:tcBorders>
            <w:shd w:color="auto" w:fill="FFF4CC"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Limité</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difficile pour les sources de risques retenues de réaliser la menace en s’appuyant sur les caractéristiques des supports (ex. : vol de supports papiers stockés dans un local de l’organisme dont l’accès est contrôlé par badge).</w:t>
            </w:r>
          </w:p>
        </w:tc>
      </w:tr>
      <w:tr>
        <w:trPr/>
        <w:tc>
          <w:tcPr>
            <w:tcW w:w="2752" w:type="dxa"/>
            <w:tcBorders>
              <w:top w:val="single" w:sz="4" w:space="0" w:color="000080"/>
              <w:left w:val="single" w:sz="4" w:space="0" w:color="000080"/>
              <w:bottom w:val="single" w:sz="4" w:space="0" w:color="000080"/>
            </w:tcBorders>
            <w:shd w:color="auto" w:fill="FFE2CC"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Important</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possible pour les sources de risques retenues de réaliser la menace en s’appuyant sur les caractéristiques des supports (ex. : vol de supports papiers stockés dans les bureaux d’un organisme dont l’accès est contrôlé par une personne à l’accueil).</w:t>
            </w:r>
          </w:p>
        </w:tc>
      </w:tr>
      <w:tr>
        <w:trPr/>
        <w:tc>
          <w:tcPr>
            <w:tcW w:w="2752" w:type="dxa"/>
            <w:tcBorders>
              <w:top w:val="single" w:sz="4" w:space="0" w:color="000080"/>
              <w:left w:val="single" w:sz="4" w:space="0" w:color="000080"/>
              <w:bottom w:val="single" w:sz="4" w:space="0" w:color="000080"/>
            </w:tcBorders>
            <w:shd w:color="auto" w:fill="FFC5D2"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Maximal</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extrêmement facile pour les sources de risques retenues de réaliser la menace en s’appuyant sur les caractéristiques des supports (ex. : vol de supports papier stockés dans le hall public de l’organisme).</w:t>
            </w:r>
          </w:p>
        </w:tc>
      </w:tr>
    </w:tbl>
    <w:p>
      <w:pPr>
        <w:pStyle w:val="Normal"/>
        <w:ind w:left="720" w:hanging="0"/>
        <w:rPr>
          <w:rFonts w:ascii="Calibri Light" w:hAnsi="Calibri Light" w:cs="Calibri Light"/>
        </w:rPr>
      </w:pPr>
      <w:r>
        <w:rPr>
          <w:rFonts w:cs="Calibri Light" w:ascii="Calibri Light" w:hAnsi="Calibri Light"/>
        </w:rPr>
      </w:r>
    </w:p>
    <w:p>
      <w:pPr>
        <w:pStyle w:val="Normal"/>
        <w:spacing w:before="0" w:after="160"/>
        <w:rPr>
          <w:rFonts w:ascii="Calibri Light" w:hAnsi="Calibri Light" w:cs="Calibri Light"/>
        </w:rPr>
      </w:pPr>
      <w:r>
        <w:rPr>
          <w:rFonts w:cs="Calibri Light" w:ascii="Calibri Light" w:hAnsi="Calibri Light"/>
        </w:rPr>
      </w:r>
    </w:p>
    <w:sectPr>
      <w:headerReference w:type="default" r:id="rId28"/>
      <w:headerReference w:type="first" r:id="rId29"/>
      <w:footerReference w:type="default" r:id="rId30"/>
      <w:footerReference w:type="first" r:id="rId31"/>
      <w:type w:val="nextPage"/>
      <w:pgSz w:w="11906" w:h="16838"/>
      <w:pgMar w:left="992" w:right="992" w:gutter="0" w:header="709" w:top="1383" w:footer="289" w:bottom="828"/>
      <w:pgNumType w:fmt="decimal"/>
      <w:formProt w:val="false"/>
      <w:titlePg/>
      <w:textDirection w:val="lrTb"/>
      <w:docGrid w:type="default" w:linePitch="600" w:charSpace="36864"/>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Dan SCEMAMA" w:date="2023-10-04T12:34: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adapter ces mentions en précisant le mode de chiffrement.</w:t>
      </w:r>
    </w:p>
  </w:comment>
  <w:comment w:id="1" w:author="Dan SCEMAMA" w:date="2023-10-04T12:34: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2" w:author="Dan SCEMAMA" w:date="2023-10-04T12:35: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Chaque RT devra préciser les mesures visant la sécurité physique du système, par exemple, les dispositifs anti-intrusions dans les centres de supervision urbain</w:t>
      </w:r>
    </w:p>
  </w:comment>
  <w:comment w:id="3" w:author="Dan SCEMAMA" w:date="2023-10-04T12:35: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compléter cette mention notamment au regard des modalités de segmentation des profils et d’habilitation des agents</w:t>
      </w:r>
    </w:p>
  </w:comment>
  <w:comment w:id="4" w:author="Dan SCEMAMA" w:date="2023-10-04T12:35: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 xml:space="preserve">Veuillez préciser en fonction de la solution choisie. </w:t>
      </w:r>
    </w:p>
    <w:p>
      <w:pPr>
        <w:overflowPunct w:val="false"/>
        <w:spacing w:before="0" w:after="0" w:lineRule="auto" w:line="240"/>
        <w:jc w:val="left"/>
        <w:rPr/>
      </w:pPr>
      <w:r>
        <w:rPr>
          <w:rFonts w:ascii="Liberation Serif" w:hAnsi="Liberation Serif" w:eastAsia="Segoe UI" w:cs="Tahoma"/>
          <w:sz w:val="24"/>
          <w:szCs w:val="24"/>
          <w:lang w:val="en-US" w:eastAsia="en-US" w:bidi="en-US"/>
        </w:rPr>
        <w:t>Il conviendra de préciser si, par exemple, le réseau du service et les postes qui y sont raccordés font l’objet d’une mise à jour régulière et permanente de leur anti-virus.</w:t>
      </w:r>
    </w:p>
  </w:comment>
  <w:comment w:id="5" w:author="Dan SCEMAMA" w:date="2023-10-04T12:36: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 xml:space="preserve">Précisez l’exigence suivie en matière de mots de passe.  </w:t>
      </w:r>
    </w:p>
  </w:comment>
  <w:comment w:id="6" w:author="Dan SCEMAMA" w:date="2023-10-04T12:36: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7" w:author="Dan SCEMAMA" w:date="2023-10-04T12:36: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préciser si la maintenance est effectuée par un agent interne ou externe identifié</w:t>
      </w:r>
    </w:p>
  </w:comment>
  <w:comment w:id="8" w:author="Dan SCEMAMA" w:date="2023-10-04T12:36: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 xml:space="preserve">A préciser. </w:t>
      </w:r>
    </w:p>
    <w:p>
      <w:pPr>
        <w:overflowPunct w:val="false"/>
        <w:spacing w:before="0" w:after="0" w:lineRule="auto" w:line="240"/>
        <w:jc w:val="left"/>
        <w:rPr/>
      </w:pPr>
      <w:r>
        <w:rPr>
          <w:rFonts w:ascii="Liberation Serif" w:hAnsi="Liberation Serif" w:eastAsia="Segoe UI" w:cs="Tahoma"/>
          <w:sz w:val="24"/>
          <w:szCs w:val="24"/>
          <w:lang w:val="en-US" w:eastAsia="en-US" w:bidi="en-US"/>
        </w:rPr>
        <w:t>Chaque RT devra également préciser ses propres modalités de sécurisation. Par exemple, la salle qui stocke les systèmes de stockages est un lieu où l’environnement est contrôlé en température hygrométrie et systèmes de détection et d’extinction d’incendie.</w:t>
      </w:r>
    </w:p>
  </w:comment>
  <w:comment w:id="9" w:author="Dan SCEMAMA" w:date="2023-10-04T12:37: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A compléter par chaque RT. Notamment, sur le type de profil (accès aux images en direct ou enregistrements en différé par exemple…)</w:t>
      </w:r>
    </w:p>
  </w:comment>
  <w:comment w:id="10" w:author="Dan SCEMAMA" w:date="2023-10-04T12:37: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adapter cette mention au regard du dispositif mis en place. Concernant le plan de prévention ou de gestion des risques, il peut s’agir d’un numéro d’appel d’urgence, d’un référent etc.</w:t>
      </w:r>
    </w:p>
  </w:comment>
  <w:comment w:id="11" w:author="Dan SCEMAMA" w:date="2023-10-04T12:37: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apporter des précisions sur la justification du choix du dispositif et évaluer la mesure.</w:t>
      </w:r>
    </w:p>
  </w:comment>
  <w:comment w:id="12" w:author="Dan SCEMAMA" w:date="2023-10-04T12:38: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apporter des précisions sur la procédure en cas d’incident et évaluer la mesure.</w:t>
      </w:r>
    </w:p>
  </w:comment>
  <w:comment w:id="13" w:author="Dan SCEMAMA" w:date="2023-10-04T12:38: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préciser le type de mesure mise en place : recrutement, formation, sensibilisation, encadrement…</w:t>
      </w:r>
    </w:p>
  </w:comment>
  <w:comment w:id="14" w:author="Dan SCEMAMA" w:date="2023-10-04T12:38: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Veuillez préciser les modalités de la supervision</w:t>
      </w:r>
    </w:p>
  </w:comment>
  <w:comment w:id="15" w:author="Dan SCEMAMA" w:date="2023-10-04T12:38: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Tableaux à ajuster le cas échéant en fonction des mesures précisées ou complétées.</w:t>
      </w:r>
    </w:p>
  </w:comment>
  <w:comment w:id="16" w:author="Dan SCEMAMA" w:date="2023-10-04T12:39:00Z" w:initials="SD">
    <w:p>
      <w:pPr>
        <w:overflowPunct w:val="false"/>
        <w:spacing w:before="0" w:after="0" w:lineRule="auto" w:line="240"/>
        <w:jc w:val="left"/>
        <w:rPr/>
      </w:pPr>
      <w:r>
        <w:rPr>
          <w:rFonts w:ascii="Liberation Serif" w:hAnsi="Liberation Serif" w:eastAsia="Segoe UI" w:cs="Tahoma"/>
          <w:sz w:val="24"/>
          <w:szCs w:val="24"/>
          <w:lang w:val="en-US" w:eastAsia="en-US" w:bidi="en-US"/>
        </w:rPr>
        <w:t>Tableaux à ajuster le cas échéant en fonction des mesures précisées ou complétées.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mbria">
    <w:charset w:val="00"/>
    <w:family w:val="roman"/>
    <w:pitch w:val="variable"/>
  </w:font>
  <w:font w:name="Frutiger LT Std 45 Light">
    <w:charset w:val="00"/>
    <w:family w:val="roman"/>
    <w:pitch w:val="variable"/>
  </w:font>
  <w:font w:name="Frutiger LT Std 55 Roman">
    <w:charset w:val="00"/>
    <w:family w:val="roman"/>
    <w:pitch w:val="variable"/>
  </w:font>
  <w:font w:name="Tahoma">
    <w:charset w:val="00"/>
    <w:family w:val="roman"/>
    <w:pitch w:val="variable"/>
  </w:font>
  <w:font w:name="Arial">
    <w:charset w:val="00"/>
    <w:family w:val="roman"/>
    <w:pitch w:val="variable"/>
  </w:font>
  <w:font w:name="Book Antiqu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ton BQ Bold">
    <w:charset w:val="00"/>
    <w:family w:val="roman"/>
    <w:pitch w:val="variable"/>
  </w:font>
  <w:font w:name="Verdana">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 w:name="Calibri Ligh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0</w:t>
    </w:r>
    <w:r>
      <w:rP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0</w:t>
    </w:r>
    <w:r>
      <w:rPr/>
      <w:fldChar w:fldCharType="end"/>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0</w:t>
    </w:r>
    <w:r>
      <w:rPr/>
      <w:fldChar w:fldCharType="end"/>
    </w:r>
  </w:p>
  <w:p>
    <w:pPr>
      <w:pStyle w:val="Pieddepag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fldChar w:fldCharType="begin"/>
    </w:r>
    <w:r>
      <w:rPr/>
      <w:instrText xml:space="preserve"> PAGE </w:instrText>
    </w:r>
    <w:r>
      <w:rPr/>
      <w:fldChar w:fldCharType="separate"/>
    </w:r>
    <w:r>
      <w:rPr/>
      <w:t>0</w:t>
    </w:r>
    <w:r>
      <w:rPr/>
      <w:fldChar w:fldCharType="end"/>
    </w:r>
  </w:p>
  <w:p>
    <w:pPr>
      <w:pStyle w:val="Pieddepage"/>
      <w:jc w:val="center"/>
      <w:rPr/>
    </w:pPr>
    <w:r>
      <w:rPr/>
    </w:r>
  </w:p>
  <w:p>
    <w:pPr>
      <w:pStyle w:val="Normal"/>
      <w:rPr/>
    </w:pPr>
    <w:r>
      <w:rPr/>
    </w:r>
  </w:p>
  <w:p>
    <w:pPr>
      <w:pStyle w:val="Normal"/>
      <w:widowControl/>
      <w:suppressAutoHyphens w:val="true"/>
      <w:bidi w:val="0"/>
      <w:spacing w:lineRule="auto" w:line="252" w:before="0" w:after="160"/>
      <w:jc w:val="both"/>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3556" w:leader="none"/>
      </w:tabs>
      <w:jc w:val="left"/>
      <w:rPr>
        <w:rFonts w:eastAsia="Calibri" w:cs="Calibri"/>
      </w:rPr>
    </w:pPr>
    <w:r>
      <w:pict>
        <v:shape id="shape_0" coordsize="2,1765" path="m0,0xm1,0l0,0l1,0xm0,0xm1,1764l0,0l1,1764xe" stroked="t" o:allowincell="f" style="position:absolute;margin-left:0.05pt;margin-top:0pt;width:0pt;height:49.95pt">
          <v:stroke color="black" joinstyle="miter" endcap="flat"/>
          <v:fill o:detectmouseclick="t" on="false"/>
          <w10:wrap type="none"/>
        </v:shape>
      </w:pict>
    </w:r>
    <w:r>
      <w:rPr>
        <w:rFonts w:eastAsia="Calibri" w:cs="Calibri"/>
      </w:rPr>
      <w:t xml:space="preserve">   </w:t>
    </w:r>
  </w:p>
  <w:p>
    <w:pPr>
      <w:pStyle w:val="Normal"/>
      <w:widowControl/>
      <w:suppressAutoHyphens w:val="true"/>
      <w:bidi w:val="0"/>
      <w:spacing w:lineRule="auto" w:line="252" w:before="0" w:after="160"/>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t>Analyse d’impact relative à la protection des données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pPr>
    <w:r>
      <w:rPr/>
      <w:t>Analyse d’impact relative à la protection des données</w:t>
    </w:r>
  </w:p>
  <w:p>
    <w:pPr>
      <w:pStyle w:val="Normal"/>
      <w:rPr/>
    </w:pPr>
    <w:r>
      <w:rPr/>
    </w:r>
  </w:p>
  <w:p>
    <w:pPr>
      <w:pStyle w:val="Normal"/>
      <w:widowControl/>
      <w:suppressAutoHyphens w:val="true"/>
      <w:bidi w:val="0"/>
      <w:spacing w:lineRule="auto" w:line="252" w:before="0" w:after="160"/>
      <w:jc w:val="both"/>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720"/>
        <w:tab w:val="left" w:pos="3125" w:leader="none"/>
      </w:tabs>
      <w:rPr>
        <w:lang w:eastAsia="fr-FR"/>
      </w:rPr>
    </w:pPr>
    <w:r>
      <w:rPr>
        <w:lang w:eastAsia="fr-FR"/>
      </w:rPr>
    </w:r>
  </w:p>
  <w:p>
    <w:pPr>
      <w:pStyle w:val="Normal"/>
      <w:rPr>
        <w:lang w:eastAsia="fr-FR"/>
      </w:rPr>
    </w:pPr>
    <w:r>
      <w:rPr>
        <w:lang w:eastAsia="fr-FR"/>
      </w:rPr>
    </w:r>
  </w:p>
  <w:p>
    <w:pPr>
      <w:pStyle w:val="Normal"/>
      <w:widowControl/>
      <w:suppressAutoHyphens w:val="true"/>
      <w:bidi w:val="0"/>
      <w:spacing w:lineRule="auto" w:line="252" w:before="0" w:after="160"/>
      <w:jc w:val="both"/>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smallCaps/>
        <w:lang w:eastAsia="fr-FR"/>
      </w:rPr>
    </w:pPr>
    <w:r>
      <w:rPr>
        <w:smallCaps/>
        <w:lang w:eastAsia="fr-FR"/>
      </w:rPr>
    </w:r>
  </w:p>
  <w:p>
    <w:pPr>
      <w:pStyle w:val="En-tte"/>
      <w:jc w:val="center"/>
      <w:rPr>
        <w:smallCaps/>
        <w:lang w:eastAsia="fr-FR"/>
      </w:rPr>
    </w:pPr>
    <w:r>
      <w:rPr>
        <w:smallCaps/>
        <w:lang w:eastAsia="fr-FR"/>
      </w:rPr>
    </w:r>
  </w:p>
  <w:p>
    <w:pPr>
      <w:pStyle w:val="En-tte"/>
      <w:jc w:val="center"/>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p>
    <w:pPr>
      <w:pStyle w:val="Normal"/>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p>
    <w:pPr>
      <w:pStyle w:val="Normal"/>
      <w:spacing w:before="0" w:after="160"/>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lang w:eastAsia="fr-FR"/>
      </w:rPr>
    </w:pPr>
    <w:r>
      <w:rPr>
        <w:lang w:eastAsia="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sz w:val="20"/>
        <w:b/>
        <w:szCs w:val="20"/>
        <w:color w:val="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Calibri Light" w:hAnsi="Calibri Light" w:cs="Calibri Light"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both"/>
    </w:pPr>
    <w:rPr>
      <w:rFonts w:ascii="Calibri" w:hAnsi="Calibri" w:eastAsia="Times New Roman" w:cs="Times New Roman"/>
      <w:color w:val="auto"/>
      <w:kern w:val="0"/>
      <w:sz w:val="22"/>
      <w:szCs w:val="22"/>
      <w:lang w:bidi="ar-SA" w:val="fr-FR" w:eastAsia="zh-CN"/>
    </w:rPr>
  </w:style>
  <w:style w:type="paragraph" w:styleId="Titre1">
    <w:name w:val="Heading 1"/>
    <w:basedOn w:val="Normal"/>
    <w:next w:val="Normal"/>
    <w:qFormat/>
    <w:pPr>
      <w:keepNext w:val="true"/>
      <w:keepLines/>
      <w:numPr>
        <w:ilvl w:val="0"/>
        <w:numId w:val="1"/>
      </w:numPr>
      <w:spacing w:before="320" w:after="40"/>
      <w:outlineLvl w:val="0"/>
    </w:pPr>
    <w:rPr>
      <w:rFonts w:ascii="Arial Narrow" w:hAnsi="Arial Narrow" w:eastAsia="SimSun;宋体"/>
      <w:b/>
      <w:bCs/>
      <w:caps/>
      <w:spacing w:val="4"/>
      <w:sz w:val="28"/>
      <w:szCs w:val="28"/>
    </w:rPr>
  </w:style>
  <w:style w:type="paragraph" w:styleId="Titre2">
    <w:name w:val="Heading 2"/>
    <w:basedOn w:val="Normal"/>
    <w:next w:val="Normal"/>
    <w:qFormat/>
    <w:pPr>
      <w:keepNext w:val="true"/>
      <w:keepLines/>
      <w:numPr>
        <w:ilvl w:val="1"/>
        <w:numId w:val="1"/>
      </w:numPr>
      <w:spacing w:before="120" w:after="0"/>
      <w:outlineLvl w:val="1"/>
    </w:pPr>
    <w:rPr>
      <w:rFonts w:ascii="Calibri Light" w:hAnsi="Calibri Light" w:eastAsia="SimSun;宋体"/>
      <w:b/>
      <w:bCs/>
      <w:sz w:val="28"/>
      <w:szCs w:val="28"/>
    </w:rPr>
  </w:style>
  <w:style w:type="paragraph" w:styleId="Titre3">
    <w:name w:val="Heading 3"/>
    <w:basedOn w:val="Normal"/>
    <w:next w:val="Normal"/>
    <w:qFormat/>
    <w:pPr>
      <w:keepNext w:val="true"/>
      <w:keepLines/>
      <w:numPr>
        <w:ilvl w:val="2"/>
        <w:numId w:val="1"/>
      </w:numPr>
      <w:spacing w:before="120" w:after="0"/>
      <w:outlineLvl w:val="2"/>
    </w:pPr>
    <w:rPr>
      <w:rFonts w:ascii="Calibri Light" w:hAnsi="Calibri Light" w:eastAsia="SimSun;宋体"/>
      <w:spacing w:val="4"/>
      <w:sz w:val="24"/>
      <w:szCs w:val="24"/>
    </w:rPr>
  </w:style>
  <w:style w:type="paragraph" w:styleId="Titre4">
    <w:name w:val="Heading 4"/>
    <w:basedOn w:val="Normal"/>
    <w:next w:val="Normal"/>
    <w:qFormat/>
    <w:pPr>
      <w:keepNext w:val="true"/>
      <w:keepLines/>
      <w:numPr>
        <w:ilvl w:val="3"/>
        <w:numId w:val="1"/>
      </w:numPr>
      <w:spacing w:before="120" w:after="0"/>
      <w:outlineLvl w:val="3"/>
    </w:pPr>
    <w:rPr>
      <w:rFonts w:ascii="Calibri Light" w:hAnsi="Calibri Light" w:eastAsia="SimSun;宋体"/>
      <w:i/>
      <w:iCs/>
      <w:sz w:val="24"/>
      <w:szCs w:val="24"/>
    </w:rPr>
  </w:style>
  <w:style w:type="paragraph" w:styleId="Titre5">
    <w:name w:val="Heading 5"/>
    <w:basedOn w:val="Normal"/>
    <w:next w:val="Normal"/>
    <w:qFormat/>
    <w:pPr>
      <w:keepNext w:val="true"/>
      <w:keepLines/>
      <w:numPr>
        <w:ilvl w:val="4"/>
        <w:numId w:val="1"/>
      </w:numPr>
      <w:spacing w:before="120" w:after="0"/>
      <w:outlineLvl w:val="4"/>
    </w:pPr>
    <w:rPr>
      <w:rFonts w:ascii="Calibri Light" w:hAnsi="Calibri Light" w:eastAsia="SimSun;宋体"/>
      <w:b/>
      <w:bCs/>
    </w:rPr>
  </w:style>
  <w:style w:type="paragraph" w:styleId="Titre6">
    <w:name w:val="Heading 6"/>
    <w:basedOn w:val="Normal"/>
    <w:next w:val="Normal"/>
    <w:qFormat/>
    <w:pPr>
      <w:keepNext w:val="true"/>
      <w:keepLines/>
      <w:numPr>
        <w:ilvl w:val="5"/>
        <w:numId w:val="1"/>
      </w:numPr>
      <w:spacing w:before="120" w:after="0"/>
      <w:outlineLvl w:val="5"/>
    </w:pPr>
    <w:rPr>
      <w:rFonts w:ascii="Calibri Light" w:hAnsi="Calibri Light" w:eastAsia="SimSun;宋体"/>
      <w:b/>
      <w:bCs/>
      <w:i/>
      <w:iCs/>
    </w:rPr>
  </w:style>
  <w:style w:type="paragraph" w:styleId="Titre7">
    <w:name w:val="Heading 7"/>
    <w:basedOn w:val="Normal"/>
    <w:next w:val="Normal"/>
    <w:qFormat/>
    <w:pPr>
      <w:keepNext w:val="true"/>
      <w:keepLines/>
      <w:numPr>
        <w:ilvl w:val="6"/>
        <w:numId w:val="1"/>
      </w:numPr>
      <w:spacing w:before="120" w:after="0"/>
      <w:outlineLvl w:val="6"/>
    </w:pPr>
    <w:rPr>
      <w:i/>
      <w:iCs/>
    </w:rPr>
  </w:style>
  <w:style w:type="paragraph" w:styleId="Titre8">
    <w:name w:val="Heading 8"/>
    <w:basedOn w:val="Normal"/>
    <w:next w:val="Normal"/>
    <w:qFormat/>
    <w:pPr>
      <w:keepNext w:val="true"/>
      <w:keepLines/>
      <w:numPr>
        <w:ilvl w:val="7"/>
        <w:numId w:val="1"/>
      </w:numPr>
      <w:spacing w:before="120" w:after="0"/>
      <w:outlineLvl w:val="7"/>
    </w:pPr>
    <w:rPr>
      <w:b/>
      <w:bCs/>
    </w:rPr>
  </w:style>
  <w:style w:type="paragraph" w:styleId="Titre9">
    <w:name w:val="Heading 9"/>
    <w:basedOn w:val="Normal"/>
    <w:next w:val="Normal"/>
    <w:qFormat/>
    <w:pPr>
      <w:keepNext w:val="true"/>
      <w:keepLines/>
      <w:numPr>
        <w:ilvl w:val="8"/>
        <w:numId w:val="1"/>
      </w:numPr>
      <w:spacing w:before="120" w:after="0"/>
      <w:outlineLvl w:val="8"/>
    </w:pPr>
    <w:rPr>
      <w:i/>
      <w:iCs/>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Symbol"/>
      <w:b/>
      <w:color w:val="C00000"/>
      <w:sz w:val="20"/>
      <w:szCs w:val="20"/>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5z0" w:customStyle="1">
    <w:name w:val="WW8Num5z0"/>
    <w:qFormat/>
    <w:rPr>
      <w:rFonts w:ascii="Calibri Light" w:hAnsi="Calibri Light" w:cs="Calibri Light"/>
    </w:rPr>
  </w:style>
  <w:style w:type="character" w:styleId="WW8Num6z0" w:customStyle="1">
    <w:name w:val="WW8Num6z0"/>
    <w:qFormat/>
    <w:rPr>
      <w:rFonts w:ascii="Wingdings" w:hAnsi="Wingdings" w:cs="Wingdings"/>
    </w:rPr>
  </w:style>
  <w:style w:type="character" w:styleId="WW8Num7z0" w:customStyle="1">
    <w:name w:val="WW8Num7z0"/>
    <w:qFormat/>
    <w:rPr>
      <w:rFonts w:ascii="Wingdings" w:hAnsi="Wingdings" w:cs="Wingdings"/>
    </w:rPr>
  </w:style>
  <w:style w:type="character" w:styleId="WW8Num8z0" w:customStyle="1">
    <w:name w:val="WW8Num8z0"/>
    <w:qFormat/>
    <w:rPr>
      <w:rFonts w:ascii="Wingdings" w:hAnsi="Wingdings" w:cs="Wingdings"/>
    </w:rPr>
  </w:style>
  <w:style w:type="character" w:styleId="WW8Num1z0" w:customStyle="1">
    <w:name w:val="WW8Num1z0"/>
    <w:qFormat/>
    <w:rPr>
      <w:rFonts w:ascii="Calibri" w:hAnsi="Calibri" w:cs="Times New Roman"/>
    </w:rPr>
  </w:style>
  <w:style w:type="character" w:styleId="WW8Num1z1" w:customStyle="1">
    <w:name w:val="WW8Num1z1"/>
    <w:qFormat/>
    <w:rPr>
      <w:rFonts w:ascii="Calibri" w:hAnsi="Calibri" w:cs="Times New Roman"/>
      <w:b/>
      <w:i w:val="false"/>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rFonts w:ascii="Symbol" w:hAnsi="Symbol" w:cs="Symbol"/>
      <w:sz w:val="20"/>
      <w:szCs w:val="20"/>
    </w:rPr>
  </w:style>
  <w:style w:type="character" w:styleId="WW8Num10z0" w:customStyle="1">
    <w:name w:val="WW8Num10z0"/>
    <w:qFormat/>
    <w:rPr>
      <w:rFonts w:ascii="Times New Roman" w:hAnsi="Times New Roman" w:cs="Calibri"/>
      <w:color w:val="00000A"/>
      <w:kern w:val="2"/>
      <w:sz w:val="20"/>
      <w:szCs w:val="20"/>
      <w:lang w:eastAsia="zh-CN"/>
    </w:rPr>
  </w:style>
  <w:style w:type="character" w:styleId="WW8Num11z0" w:customStyle="1">
    <w:name w:val="WW8Num11z0"/>
    <w:qFormat/>
    <w:rPr>
      <w:rFonts w:ascii="Symbol" w:hAnsi="Symbol" w:cs="Times New Roman"/>
      <w:sz w:val="20"/>
      <w:szCs w:val="20"/>
    </w:rPr>
  </w:style>
  <w:style w:type="character" w:styleId="WW8Num11z1" w:customStyle="1">
    <w:name w:val="WW8Num11z1"/>
    <w:qFormat/>
    <w:rPr>
      <w:rFonts w:ascii="Courier New" w:hAnsi="Courier New" w:cs="Courier New"/>
      <w:sz w:val="20"/>
      <w:szCs w:val="20"/>
      <w:shd w:fill="FFFF00" w:val="clear"/>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color w:val="0D0D0D"/>
      <w:sz w:val="20"/>
      <w:szCs w:val="20"/>
    </w:rPr>
  </w:style>
  <w:style w:type="character" w:styleId="WW8Num12z1" w:customStyle="1">
    <w:name w:val="WW8Num12z1"/>
    <w:qFormat/>
    <w:rPr>
      <w:rFonts w:ascii="OpenSymbol;Arial Unicode MS" w:hAnsi="OpenSymbol;Arial Unicode MS" w:cs="Courier New"/>
    </w:rPr>
  </w:style>
  <w:style w:type="character" w:styleId="WW8Num13z0" w:customStyle="1">
    <w:name w:val="WW8Num13z0"/>
    <w:qFormat/>
    <w:rPr>
      <w:rFonts w:ascii="Calibri" w:hAnsi="Calibri" w:eastAsia="Times New Roman"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Calibri Light" w:hAnsi="Calibri Light" w:eastAsia="Times New Roman" w:cs="Calibri Ligh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ascii="Calibri" w:hAnsi="Calibri" w:eastAsia="Times New Roman" w:cs="Calibri"/>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Calibri" w:hAnsi="Calibri" w:eastAsia="Times New Roman" w:cs="Calibri"/>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Wingdings" w:hAnsi="Wingdings" w:cs="Wingdings"/>
    </w:rPr>
  </w:style>
  <w:style w:type="character" w:styleId="WW8Num18z1" w:customStyle="1">
    <w:name w:val="WW8Num18z1"/>
    <w:qFormat/>
    <w:rPr>
      <w:rFonts w:ascii="Courier New" w:hAnsi="Courier New" w:cs="Courier New"/>
    </w:rPr>
  </w:style>
  <w:style w:type="character" w:styleId="WW8Num18z3" w:customStyle="1">
    <w:name w:val="WW8Num18z3"/>
    <w:qFormat/>
    <w:rPr>
      <w:rFonts w:ascii="Symbol" w:hAnsi="Symbol" w:cs="Symbol"/>
    </w:rPr>
  </w:style>
  <w:style w:type="character" w:styleId="WW8Num19z0" w:customStyle="1">
    <w:name w:val="WW8Num19z0"/>
    <w:qFormat/>
    <w:rPr>
      <w:rFonts w:ascii="Calibri Light" w:hAnsi="Calibri Light" w:eastAsia="Times New Roman" w:cs="Calibri Light"/>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2z0" w:customStyle="1">
    <w:name w:val="WW8Num22z0"/>
    <w:qFormat/>
    <w:rPr>
      <w:rFonts w:ascii="Wingdings" w:hAnsi="Wingdings" w:cs="Wingdings"/>
    </w:rPr>
  </w:style>
  <w:style w:type="character" w:styleId="WW8Num22z1" w:customStyle="1">
    <w:name w:val="WW8Num22z1"/>
    <w:qFormat/>
    <w:rPr>
      <w:rFonts w:ascii="Courier New" w:hAnsi="Courier New" w:cs="Courier New"/>
    </w:rPr>
  </w:style>
  <w:style w:type="character" w:styleId="WW8Num22z3" w:customStyle="1">
    <w:name w:val="WW8Num22z3"/>
    <w:qFormat/>
    <w:rPr>
      <w:rFonts w:ascii="Symbol" w:hAnsi="Symbol" w:cs="Symbol"/>
    </w:rPr>
  </w:style>
  <w:style w:type="character" w:styleId="WW8Num23z0" w:customStyle="1">
    <w:name w:val="WW8Num23z0"/>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3" w:customStyle="1">
    <w:name w:val="WW8Num23z3"/>
    <w:qFormat/>
    <w:rPr>
      <w:rFonts w:ascii="Symbol" w:hAnsi="Symbol" w:cs="Symbol"/>
    </w:rPr>
  </w:style>
  <w:style w:type="character" w:styleId="WW8Num24z0" w:customStyle="1">
    <w:name w:val="WW8Num24z0"/>
    <w:qFormat/>
    <w:rPr>
      <w:rFonts w:ascii="Calibri" w:hAnsi="Calibri" w:eastAsia="Times New Roman" w:cs="Calibri"/>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4z3" w:customStyle="1">
    <w:name w:val="WW8Num24z3"/>
    <w:qFormat/>
    <w:rPr>
      <w:rFonts w:ascii="Symbol" w:hAnsi="Symbol" w:cs="Symbol"/>
    </w:rPr>
  </w:style>
  <w:style w:type="character" w:styleId="WW8Num25z0" w:customStyle="1">
    <w:name w:val="WW8Num25z0"/>
    <w:qFormat/>
    <w:rPr>
      <w:rFonts w:ascii="Wingdings" w:hAnsi="Wingdings" w:cs="Wingdings"/>
    </w:rPr>
  </w:style>
  <w:style w:type="character" w:styleId="WW8Num25z1" w:customStyle="1">
    <w:name w:val="WW8Num25z1"/>
    <w:qFormat/>
    <w:rPr>
      <w:rFonts w:ascii="Courier New" w:hAnsi="Courier New" w:cs="Courier New"/>
    </w:rPr>
  </w:style>
  <w:style w:type="character" w:styleId="WW8Num25z3" w:customStyle="1">
    <w:name w:val="WW8Num25z3"/>
    <w:qFormat/>
    <w:rPr>
      <w:rFonts w:ascii="Symbol" w:hAnsi="Symbol" w:cs="Symbol"/>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Times New Roman" w:hAnsi="Times New Roman" w:eastAsia="Times New Roman" w:cs="Times New Roman"/>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style>
  <w:style w:type="character" w:styleId="WW8Num29z0" w:customStyle="1">
    <w:name w:val="WW8Num29z0"/>
    <w:qFormat/>
    <w:rPr>
      <w:rFonts w:ascii="Calibri Light" w:hAnsi="Calibri Light" w:eastAsia="Times New Roman" w:cs="Calibri Light"/>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Calibri Light" w:hAnsi="Calibri Light" w:eastAsia="Times New Roman" w:cs="Calibri Light"/>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Wingdings" w:hAnsi="Wingdings" w:cs="Wingdings"/>
    </w:rPr>
  </w:style>
  <w:style w:type="character" w:styleId="WW8Num31z3" w:customStyle="1">
    <w:name w:val="WW8Num31z3"/>
    <w:qFormat/>
    <w:rPr>
      <w:rFonts w:ascii="Symbol" w:hAnsi="Symbol" w:cs="Symbol"/>
    </w:rPr>
  </w:style>
  <w:style w:type="character" w:styleId="WW8Num31z4" w:customStyle="1">
    <w:name w:val="WW8Num31z4"/>
    <w:qFormat/>
    <w:rPr>
      <w:rFonts w:ascii="Courier New" w:hAnsi="Courier New" w:cs="Courier New"/>
    </w:rPr>
  </w:style>
  <w:style w:type="character" w:styleId="WW8Num32z0" w:customStyle="1">
    <w:name w:val="WW8Num32z0"/>
    <w:qFormat/>
    <w:rPr>
      <w:rFonts w:ascii="Calibri" w:hAnsi="Calibri" w:eastAsia="Times New Roman" w:cs="Calibri"/>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Wingdings" w:hAnsi="Wingdings" w:cs="Wingdings"/>
    </w:rPr>
  </w:style>
  <w:style w:type="character" w:styleId="WW8Num33z1" w:customStyle="1">
    <w:name w:val="WW8Num33z1"/>
    <w:qFormat/>
    <w:rPr>
      <w:rFonts w:ascii="Courier New" w:hAnsi="Courier New" w:cs="Courier New"/>
    </w:rPr>
  </w:style>
  <w:style w:type="character" w:styleId="WW8Num33z3" w:customStyle="1">
    <w:name w:val="WW8Num33z3"/>
    <w:qFormat/>
    <w:rPr>
      <w:rFonts w:ascii="Symbol" w:hAnsi="Symbol" w:cs="Symbol"/>
    </w:rPr>
  </w:style>
  <w:style w:type="character" w:styleId="WW8Num34z0" w:customStyle="1">
    <w:name w:val="WW8Num34z0"/>
    <w:qFormat/>
    <w:rPr>
      <w:rFonts w:ascii="Wingdings" w:hAnsi="Wingdings" w:cs="Wingdings"/>
    </w:rPr>
  </w:style>
  <w:style w:type="character" w:styleId="WW8Num34z1" w:customStyle="1">
    <w:name w:val="WW8Num34z1"/>
    <w:qFormat/>
    <w:rPr>
      <w:rFonts w:ascii="Courier New" w:hAnsi="Courier New" w:cs="Courier New"/>
    </w:rPr>
  </w:style>
  <w:style w:type="character" w:styleId="WW8Num34z3" w:customStyle="1">
    <w:name w:val="WW8Num34z3"/>
    <w:qFormat/>
    <w:rPr>
      <w:rFonts w:ascii="Symbol" w:hAnsi="Symbol" w:cs="Symbol"/>
    </w:rPr>
  </w:style>
  <w:style w:type="character" w:styleId="WW8Num35z0" w:customStyle="1">
    <w:name w:val="WW8Num35z0"/>
    <w:qFormat/>
    <w:rPr/>
  </w:style>
  <w:style w:type="character" w:styleId="WW8Num36z0" w:customStyle="1">
    <w:name w:val="WW8Num36z0"/>
    <w:qFormat/>
    <w:rPr>
      <w:rFonts w:ascii="Calibri" w:hAnsi="Calibri" w:eastAsia="Times New Roman" w:cs="Calibri"/>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rFonts w:ascii="Wingdings" w:hAnsi="Wingdings" w:eastAsia="Times New Roman" w:cs="Times New Roman"/>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rFonts w:ascii="Calibri" w:hAnsi="Calibri" w:eastAsia="Times New Roman" w:cs="Calibri"/>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9z0" w:customStyle="1">
    <w:name w:val="WW8Num39z0"/>
    <w:qFormat/>
    <w:rPr>
      <w:rFonts w:ascii="Wingdings" w:hAnsi="Wingdings" w:cs="Wingdings"/>
    </w:rPr>
  </w:style>
  <w:style w:type="character" w:styleId="WW8Num39z1" w:customStyle="1">
    <w:name w:val="WW8Num39z1"/>
    <w:qFormat/>
    <w:rPr>
      <w:rFonts w:ascii="Courier New" w:hAnsi="Courier New" w:cs="Courier New"/>
    </w:rPr>
  </w:style>
  <w:style w:type="character" w:styleId="WW8Num39z3" w:customStyle="1">
    <w:name w:val="WW8Num39z3"/>
    <w:qFormat/>
    <w:rPr>
      <w:rFonts w:ascii="Symbol" w:hAnsi="Symbol" w:cs="Symbol"/>
    </w:rPr>
  </w:style>
  <w:style w:type="character" w:styleId="WW8Num40z0" w:customStyle="1">
    <w:name w:val="WW8Num40z0"/>
    <w:qFormat/>
    <w:rPr>
      <w:rFonts w:ascii="Symbol" w:hAnsi="Symbol" w:cs="Symbol"/>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1z0" w:customStyle="1">
    <w:name w:val="WW8Num41z0"/>
    <w:qFormat/>
    <w:rPr>
      <w:rFonts w:ascii="Calibri" w:hAnsi="Calibri" w:eastAsia="Times New Roman" w:cs="Calibri"/>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rFonts w:ascii="Calibri Light" w:hAnsi="Calibri Light" w:eastAsia="Times New Roman" w:cs="Calibri Light"/>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2z3" w:customStyle="1">
    <w:name w:val="WW8Num42z3"/>
    <w:qFormat/>
    <w:rPr>
      <w:rFonts w:ascii="Symbol" w:hAnsi="Symbol" w:cs="Symbol"/>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style>
  <w:style w:type="character" w:styleId="WW8Num10z2" w:customStyle="1">
    <w:name w:val="WW8Num10z2"/>
    <w:qFormat/>
    <w:rPr/>
  </w:style>
  <w:style w:type="character" w:styleId="WW8Num11z3" w:customStyle="1">
    <w:name w:val="WW8Num11z3"/>
    <w:qFormat/>
    <w:rPr>
      <w:rFonts w:ascii="Symbol" w:hAnsi="Symbol" w:cs="Symbol"/>
    </w:rPr>
  </w:style>
  <w:style w:type="character" w:styleId="WW8Num12z2" w:customStyle="1">
    <w:name w:val="WW8Num12z2"/>
    <w:qFormat/>
    <w:rPr>
      <w:rFonts w:ascii="Wingdings" w:hAnsi="Wingdings" w:cs="Wingdings"/>
    </w:rPr>
  </w:style>
  <w:style w:type="character" w:styleId="Policepardfaut4" w:customStyle="1">
    <w:name w:val="Police par défaut4"/>
    <w:qFormat/>
    <w:rPr/>
  </w:style>
  <w:style w:type="character" w:styleId="Policepardfaut2" w:customStyle="1">
    <w:name w:val="Police par défaut2"/>
    <w:qFormat/>
    <w:rPr/>
  </w:style>
  <w:style w:type="character" w:styleId="Policepardfaut1" w:customStyle="1">
    <w:name w:val="Police par défaut1"/>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Policepardfaut3" w:customStyle="1">
    <w:name w:val="Police par défaut3"/>
    <w:qFormat/>
    <w:rPr/>
  </w:style>
  <w:style w:type="character" w:styleId="Heading1Char" w:customStyle="1">
    <w:name w:val="Heading 1 Char"/>
    <w:qFormat/>
    <w:rPr>
      <w:rFonts w:ascii="Cambria" w:hAnsi="Cambria" w:eastAsia="font224" w:cs="Times New Roman"/>
      <w:b/>
      <w:bCs/>
      <w:sz w:val="32"/>
      <w:szCs w:val="32"/>
    </w:rPr>
  </w:style>
  <w:style w:type="character" w:styleId="Titre2Car1" w:customStyle="1">
    <w:name w:val="Titre 2 Car1"/>
    <w:qFormat/>
    <w:rPr>
      <w:rFonts w:ascii="Calibri" w:hAnsi="Calibri" w:cs="Calibri"/>
      <w:b/>
      <w:sz w:val="20"/>
      <w:szCs w:val="20"/>
    </w:rPr>
  </w:style>
  <w:style w:type="character" w:styleId="Titre3Car1" w:customStyle="1">
    <w:name w:val="Titre 3 Car1"/>
    <w:qFormat/>
    <w:rPr>
      <w:rFonts w:ascii="Calibri" w:hAnsi="Calibri" w:cs="Calibri"/>
      <w:i/>
      <w:sz w:val="20"/>
      <w:szCs w:val="20"/>
    </w:rPr>
  </w:style>
  <w:style w:type="character" w:styleId="Titre1Car1" w:customStyle="1">
    <w:name w:val="Titre 1 Car1"/>
    <w:qFormat/>
    <w:rPr>
      <w:rFonts w:ascii="Calibri" w:hAnsi="Calibri" w:cs="Arial"/>
      <w:sz w:val="20"/>
      <w:szCs w:val="20"/>
      <w:shd w:fill="800000" w:val="clear"/>
    </w:rPr>
  </w:style>
  <w:style w:type="character" w:styleId="Heading2Char19" w:customStyle="1">
    <w:name w:val="Heading 2 Char19"/>
    <w:qFormat/>
    <w:rPr>
      <w:rFonts w:ascii="Cambria" w:hAnsi="Cambria" w:cs="Cambria"/>
      <w:b/>
      <w:i/>
      <w:sz w:val="28"/>
    </w:rPr>
  </w:style>
  <w:style w:type="character" w:styleId="Heading2Char18" w:customStyle="1">
    <w:name w:val="Heading 2 Char18"/>
    <w:qFormat/>
    <w:rPr>
      <w:rFonts w:ascii="Cambria" w:hAnsi="Cambria" w:cs="Cambria"/>
      <w:b/>
      <w:i/>
      <w:sz w:val="28"/>
    </w:rPr>
  </w:style>
  <w:style w:type="character" w:styleId="Heading2Char17" w:customStyle="1">
    <w:name w:val="Heading 2 Char17"/>
    <w:qFormat/>
    <w:rPr>
      <w:rFonts w:ascii="Cambria" w:hAnsi="Cambria" w:cs="Cambria"/>
      <w:b/>
      <w:i/>
      <w:sz w:val="28"/>
    </w:rPr>
  </w:style>
  <w:style w:type="character" w:styleId="Heading2Char16" w:customStyle="1">
    <w:name w:val="Heading 2 Char16"/>
    <w:qFormat/>
    <w:rPr>
      <w:rFonts w:ascii="Cambria" w:hAnsi="Cambria" w:cs="Cambria"/>
      <w:b/>
      <w:i/>
      <w:sz w:val="28"/>
    </w:rPr>
  </w:style>
  <w:style w:type="character" w:styleId="Heading2Char15" w:customStyle="1">
    <w:name w:val="Heading 2 Char15"/>
    <w:qFormat/>
    <w:rPr>
      <w:rFonts w:ascii="Cambria" w:hAnsi="Cambria" w:cs="Cambria"/>
      <w:b/>
      <w:i/>
      <w:sz w:val="28"/>
    </w:rPr>
  </w:style>
  <w:style w:type="character" w:styleId="Heading2Char14" w:customStyle="1">
    <w:name w:val="Heading 2 Char14"/>
    <w:qFormat/>
    <w:rPr>
      <w:rFonts w:ascii="Cambria" w:hAnsi="Cambria" w:cs="Cambria"/>
      <w:b/>
      <w:i/>
      <w:sz w:val="28"/>
    </w:rPr>
  </w:style>
  <w:style w:type="character" w:styleId="Heading2Char13" w:customStyle="1">
    <w:name w:val="Heading 2 Char13"/>
    <w:qFormat/>
    <w:rPr>
      <w:rFonts w:ascii="Cambria" w:hAnsi="Cambria" w:cs="Cambria"/>
      <w:b/>
      <w:i/>
      <w:sz w:val="28"/>
    </w:rPr>
  </w:style>
  <w:style w:type="character" w:styleId="Heading2Char12" w:customStyle="1">
    <w:name w:val="Heading 2 Char12"/>
    <w:qFormat/>
    <w:rPr>
      <w:rFonts w:ascii="Cambria" w:hAnsi="Cambria" w:cs="Cambria"/>
      <w:b/>
      <w:i/>
      <w:sz w:val="28"/>
    </w:rPr>
  </w:style>
  <w:style w:type="character" w:styleId="Heading2Char11" w:customStyle="1">
    <w:name w:val="Heading 2 Char11"/>
    <w:qFormat/>
    <w:rPr>
      <w:rFonts w:ascii="Cambria" w:hAnsi="Cambria" w:cs="Cambria"/>
      <w:b/>
      <w:i/>
      <w:sz w:val="28"/>
    </w:rPr>
  </w:style>
  <w:style w:type="character" w:styleId="Heading2Char10" w:customStyle="1">
    <w:name w:val="Heading 2 Char10"/>
    <w:qFormat/>
    <w:rPr>
      <w:rFonts w:ascii="Cambria" w:hAnsi="Cambria" w:cs="Cambria"/>
      <w:b/>
      <w:i/>
      <w:sz w:val="28"/>
    </w:rPr>
  </w:style>
  <w:style w:type="character" w:styleId="Heading2Char9" w:customStyle="1">
    <w:name w:val="Heading 2 Char9"/>
    <w:qFormat/>
    <w:rPr>
      <w:rFonts w:ascii="Cambria" w:hAnsi="Cambria" w:cs="Cambria"/>
      <w:b/>
      <w:i/>
      <w:sz w:val="28"/>
    </w:rPr>
  </w:style>
  <w:style w:type="character" w:styleId="Heading2Char8" w:customStyle="1">
    <w:name w:val="Heading 2 Char8"/>
    <w:qFormat/>
    <w:rPr>
      <w:rFonts w:ascii="Cambria" w:hAnsi="Cambria" w:cs="Cambria"/>
      <w:b/>
      <w:i/>
      <w:sz w:val="28"/>
    </w:rPr>
  </w:style>
  <w:style w:type="character" w:styleId="Heading2Char7" w:customStyle="1">
    <w:name w:val="Heading 2 Char7"/>
    <w:qFormat/>
    <w:rPr>
      <w:rFonts w:ascii="Cambria" w:hAnsi="Cambria" w:cs="Cambria"/>
      <w:b/>
      <w:i/>
      <w:sz w:val="28"/>
    </w:rPr>
  </w:style>
  <w:style w:type="character" w:styleId="Heading2Char6" w:customStyle="1">
    <w:name w:val="Heading 2 Char6"/>
    <w:qFormat/>
    <w:rPr>
      <w:rFonts w:ascii="Cambria" w:hAnsi="Cambria" w:cs="Cambria"/>
      <w:b/>
      <w:i/>
      <w:sz w:val="28"/>
    </w:rPr>
  </w:style>
  <w:style w:type="character" w:styleId="Heading2Char5" w:customStyle="1">
    <w:name w:val="Heading 2 Char5"/>
    <w:qFormat/>
    <w:rPr>
      <w:rFonts w:ascii="Cambria" w:hAnsi="Cambria" w:cs="Cambria"/>
      <w:b/>
      <w:i/>
      <w:sz w:val="28"/>
    </w:rPr>
  </w:style>
  <w:style w:type="character" w:styleId="Heading2Char4" w:customStyle="1">
    <w:name w:val="Heading 2 Char4"/>
    <w:qFormat/>
    <w:rPr>
      <w:rFonts w:ascii="Cambria" w:hAnsi="Cambria" w:cs="Cambria"/>
      <w:b/>
      <w:i/>
      <w:sz w:val="28"/>
    </w:rPr>
  </w:style>
  <w:style w:type="character" w:styleId="Heading2Char3" w:customStyle="1">
    <w:name w:val="Heading 2 Char3"/>
    <w:qFormat/>
    <w:rPr>
      <w:rFonts w:ascii="Cambria" w:hAnsi="Cambria" w:cs="Cambria"/>
      <w:b/>
      <w:i/>
      <w:sz w:val="28"/>
    </w:rPr>
  </w:style>
  <w:style w:type="character" w:styleId="Heading2Char2" w:customStyle="1">
    <w:name w:val="Heading 2 Char2"/>
    <w:qFormat/>
    <w:rPr>
      <w:rFonts w:ascii="Cambria" w:hAnsi="Cambria" w:cs="Cambria"/>
      <w:b/>
      <w:i/>
      <w:sz w:val="28"/>
    </w:rPr>
  </w:style>
  <w:style w:type="character" w:styleId="TexteChar" w:customStyle="1">
    <w:name w:val="Texte Char"/>
    <w:qFormat/>
    <w:rPr>
      <w:rFonts w:ascii="Frutiger LT Std 45 Light" w:hAnsi="Frutiger LT Std 45 Light" w:cs="Frutiger LT Std 45 Light"/>
    </w:rPr>
  </w:style>
  <w:style w:type="character" w:styleId="PiedChar" w:customStyle="1">
    <w:name w:val="Pied Char"/>
    <w:qFormat/>
    <w:rPr>
      <w:rFonts w:ascii="Frutiger LT Std 55 Roman" w:hAnsi="Frutiger LT Std 55 Roman" w:cs="Frutiger LT Std 55 Roman"/>
      <w:color w:val="4D4D4D"/>
      <w:spacing w:val="20"/>
      <w:sz w:val="20"/>
    </w:rPr>
  </w:style>
  <w:style w:type="character" w:styleId="LienInternet" w:customStyle="1">
    <w:name w:val="Hyperlink"/>
    <w:rPr>
      <w:color w:val="0000FF"/>
      <w:u w:val="single"/>
    </w:rPr>
  </w:style>
  <w:style w:type="character" w:styleId="En-tteCar" w:customStyle="1">
    <w:name w:val="En-tête Car"/>
    <w:qFormat/>
    <w:rPr/>
  </w:style>
  <w:style w:type="character" w:styleId="PieddepageCar" w:customStyle="1">
    <w:name w:val="Pied de page Car"/>
    <w:qFormat/>
    <w:rPr/>
  </w:style>
  <w:style w:type="character" w:styleId="Accentuationforte" w:customStyle="1">
    <w:name w:val="Strong"/>
    <w:qFormat/>
    <w:rPr>
      <w:b/>
      <w:bCs/>
      <w:color w:val="000000"/>
    </w:rPr>
  </w:style>
  <w:style w:type="character" w:styleId="Accentuation">
    <w:name w:val="Emphasis"/>
    <w:qFormat/>
    <w:rPr>
      <w:i/>
      <w:iCs/>
      <w:color w:val="000000"/>
    </w:rPr>
  </w:style>
  <w:style w:type="character" w:styleId="Titre1Car" w:customStyle="1">
    <w:name w:val="Titre 1 Car"/>
    <w:qFormat/>
    <w:rPr>
      <w:rFonts w:ascii="Arial Narrow" w:hAnsi="Arial Narrow" w:eastAsia="SimSun;宋体" w:cs="Times New Roman"/>
      <w:b/>
      <w:bCs/>
      <w:caps/>
      <w:spacing w:val="4"/>
      <w:sz w:val="28"/>
      <w:szCs w:val="28"/>
    </w:rPr>
  </w:style>
  <w:style w:type="character" w:styleId="Titre2Car" w:customStyle="1">
    <w:name w:val="Titre 2 Car"/>
    <w:qFormat/>
    <w:rPr>
      <w:rFonts w:ascii="Calibri Light" w:hAnsi="Calibri Light" w:eastAsia="SimSun;宋体" w:cs="Times New Roman"/>
      <w:b/>
      <w:bCs/>
      <w:sz w:val="28"/>
      <w:szCs w:val="28"/>
    </w:rPr>
  </w:style>
  <w:style w:type="character" w:styleId="Titre3Car" w:customStyle="1">
    <w:name w:val="Titre 3 Car"/>
    <w:qFormat/>
    <w:rPr>
      <w:rFonts w:ascii="Calibri Light" w:hAnsi="Calibri Light" w:eastAsia="SimSun;宋体" w:cs="Times New Roman"/>
      <w:spacing w:val="4"/>
      <w:sz w:val="24"/>
      <w:szCs w:val="24"/>
    </w:rPr>
  </w:style>
  <w:style w:type="character" w:styleId="TextedebullesCar" w:customStyle="1">
    <w:name w:val="Texte de bulles Car"/>
    <w:qFormat/>
    <w:rPr>
      <w:rFonts w:ascii="Tahoma" w:hAnsi="Tahoma" w:cs="Tahoma"/>
      <w:sz w:val="16"/>
    </w:rPr>
  </w:style>
  <w:style w:type="character" w:styleId="Marquedecommentaire1" w:customStyle="1">
    <w:name w:val="Marque de commentaire1"/>
    <w:qFormat/>
    <w:rPr>
      <w:rFonts w:cs="Times New Roman"/>
      <w:sz w:val="16"/>
    </w:rPr>
  </w:style>
  <w:style w:type="character" w:styleId="CommentaireCar" w:customStyle="1">
    <w:name w:val="Commentaire Car"/>
    <w:qFormat/>
    <w:rPr>
      <w:sz w:val="20"/>
    </w:rPr>
  </w:style>
  <w:style w:type="character" w:styleId="ObjetducommentaireCar" w:customStyle="1">
    <w:name w:val="Objet du commentaire Car"/>
    <w:qFormat/>
    <w:rPr>
      <w:b/>
      <w:sz w:val="20"/>
    </w:rPr>
  </w:style>
  <w:style w:type="character" w:styleId="Numrodepage1" w:customStyle="1">
    <w:name w:val="Numéro de page1"/>
    <w:qFormat/>
    <w:rPr>
      <w:rFonts w:cs="Times New Roman"/>
    </w:rPr>
  </w:style>
  <w:style w:type="character" w:styleId="ListParagraphChar" w:customStyle="1">
    <w:name w:val="List Paragraph Char"/>
    <w:qFormat/>
    <w:rPr>
      <w:sz w:val="22"/>
    </w:rPr>
  </w:style>
  <w:style w:type="character" w:styleId="ExplorateurdedocumentsCar" w:customStyle="1">
    <w:name w:val="Explorateur de documents Car"/>
    <w:qFormat/>
    <w:rPr>
      <w:rFonts w:ascii="Times New Roman" w:hAnsi="Times New Roman" w:cs="Times New Roman"/>
      <w:sz w:val="2"/>
    </w:rPr>
  </w:style>
  <w:style w:type="character" w:styleId="TitreCar" w:customStyle="1">
    <w:name w:val="Titre Car"/>
    <w:qFormat/>
    <w:rPr>
      <w:rFonts w:ascii="Calibri Light" w:hAnsi="Calibri Light" w:eastAsia="SimSun;宋体" w:cs="Times New Roman"/>
      <w:b/>
      <w:bCs/>
      <w:spacing w:val="-7"/>
      <w:sz w:val="48"/>
      <w:szCs w:val="48"/>
    </w:rPr>
  </w:style>
  <w:style w:type="character" w:styleId="CorpsdetexteCar" w:customStyle="1">
    <w:name w:val="Corps de texte Car"/>
    <w:qFormat/>
    <w:rPr>
      <w:rFonts w:ascii="Arial" w:hAnsi="Arial" w:cs="Arial"/>
      <w:sz w:val="22"/>
      <w:lang w:val="fr-CA"/>
    </w:rPr>
  </w:style>
  <w:style w:type="character" w:styleId="ParagraphedelisteCar" w:customStyle="1">
    <w:name w:val="Paragraphe de liste Car"/>
    <w:qFormat/>
    <w:rPr>
      <w:rFonts w:eastAsia="Times New Roman"/>
      <w:sz w:val="22"/>
    </w:rPr>
  </w:style>
  <w:style w:type="character" w:styleId="Emphaseintense1" w:customStyle="1">
    <w:name w:val="Emphase intense1"/>
    <w:qFormat/>
    <w:rPr>
      <w:rFonts w:cs="Times New Roman"/>
      <w:b/>
      <w:bCs/>
      <w:i/>
      <w:iCs/>
      <w:color w:val="E31937"/>
    </w:rPr>
  </w:style>
  <w:style w:type="character" w:styleId="Sautdindex" w:customStyle="1">
    <w:name w:val="Saut d'index"/>
    <w:qFormat/>
    <w:rPr/>
  </w:style>
  <w:style w:type="character" w:styleId="En-tteCar1" w:customStyle="1">
    <w:name w:val="En-tête Car1"/>
    <w:qFormat/>
    <w:rPr>
      <w:rFonts w:ascii="Calibri" w:hAnsi="Calibri" w:cs="Times New Roman"/>
    </w:rPr>
  </w:style>
  <w:style w:type="character" w:styleId="PieddepageCar1" w:customStyle="1">
    <w:name w:val="Pied de page Car1"/>
    <w:qFormat/>
    <w:rPr>
      <w:rFonts w:ascii="Calibri" w:hAnsi="Calibri" w:cs="Times New Roman"/>
    </w:rPr>
  </w:style>
  <w:style w:type="character" w:styleId="TextedebullesCar1" w:customStyle="1">
    <w:name w:val="Texte de bulles Car1"/>
    <w:qFormat/>
    <w:rPr>
      <w:rFonts w:ascii="Times New Roman" w:hAnsi="Times New Roman" w:cs="Times New Roman"/>
      <w:sz w:val="2"/>
    </w:rPr>
  </w:style>
  <w:style w:type="character" w:styleId="CommentaireCar1" w:customStyle="1">
    <w:name w:val="Commentaire Car1"/>
    <w:qFormat/>
    <w:rPr>
      <w:rFonts w:ascii="Calibri" w:hAnsi="Calibri" w:cs="Times New Roman"/>
      <w:sz w:val="20"/>
      <w:szCs w:val="20"/>
    </w:rPr>
  </w:style>
  <w:style w:type="character" w:styleId="ObjetducommentaireCar1" w:customStyle="1">
    <w:name w:val="Objet du commentaire Car1"/>
    <w:qFormat/>
    <w:rPr>
      <w:rFonts w:ascii="Calibri" w:hAnsi="Calibri" w:cs="Times New Roman"/>
      <w:b/>
      <w:bCs/>
      <w:sz w:val="20"/>
      <w:szCs w:val="20"/>
    </w:rPr>
  </w:style>
  <w:style w:type="character" w:styleId="ExplorateurdedocumentsCar1" w:customStyle="1">
    <w:name w:val="Explorateur de documents Car1"/>
    <w:qFormat/>
    <w:rPr>
      <w:rFonts w:ascii="Times New Roman" w:hAnsi="Times New Roman" w:cs="Times New Roman"/>
      <w:sz w:val="2"/>
    </w:rPr>
  </w:style>
  <w:style w:type="character" w:styleId="TitreCar1" w:customStyle="1">
    <w:name w:val="Titre Car1"/>
    <w:qFormat/>
    <w:rPr>
      <w:rFonts w:ascii="Calibri" w:hAnsi="Calibri" w:cs="Times New Roman"/>
      <w:b/>
      <w:color w:val="800000"/>
      <w:sz w:val="36"/>
    </w:rPr>
  </w:style>
  <w:style w:type="character" w:styleId="Sous-titreCar" w:customStyle="1">
    <w:name w:val="Sous-titre Car"/>
    <w:qFormat/>
    <w:rPr>
      <w:rFonts w:ascii="Calibri Light" w:hAnsi="Calibri Light" w:eastAsia="SimSun;宋体" w:cs="Times New Roman"/>
      <w:sz w:val="24"/>
      <w:szCs w:val="24"/>
    </w:rPr>
  </w:style>
  <w:style w:type="character" w:styleId="Sous-paragrapheCRCar" w:customStyle="1">
    <w:name w:val="Sous-paragraphe CR Car"/>
    <w:qFormat/>
    <w:rPr>
      <w:rFonts w:ascii="Calibri" w:hAnsi="Calibri" w:cs="Times New Roman"/>
      <w:i/>
      <w:sz w:val="20"/>
      <w:szCs w:val="20"/>
    </w:rPr>
  </w:style>
  <w:style w:type="character" w:styleId="NotedefinCar" w:customStyle="1">
    <w:name w:val="Note de fin Car"/>
    <w:qFormat/>
    <w:rPr>
      <w:rFonts w:ascii="Calibri" w:hAnsi="Calibri" w:cs="Times New Roman"/>
      <w:sz w:val="20"/>
      <w:szCs w:val="20"/>
    </w:rPr>
  </w:style>
  <w:style w:type="character" w:styleId="Appeldenotedefin1" w:customStyle="1">
    <w:name w:val="Appel de note de fin1"/>
    <w:qFormat/>
    <w:rPr>
      <w:rFonts w:cs="Times New Roman"/>
      <w:vertAlign w:val="superscript"/>
    </w:rPr>
  </w:style>
  <w:style w:type="character" w:styleId="NotedebasdepageCar" w:customStyle="1">
    <w:name w:val="Note de bas de page Car"/>
    <w:qFormat/>
    <w:rPr>
      <w:rFonts w:ascii="Calibri" w:hAnsi="Calibri" w:cs="Times New Roman"/>
      <w:sz w:val="20"/>
      <w:szCs w:val="20"/>
    </w:rPr>
  </w:style>
  <w:style w:type="character" w:styleId="Appelnotedebasdep1" w:customStyle="1">
    <w:name w:val="Appel note de bas de p.1"/>
    <w:qFormat/>
    <w:rPr>
      <w:rFonts w:cs="Times New Roman"/>
      <w:vertAlign w:val="superscript"/>
    </w:rPr>
  </w:style>
  <w:style w:type="character" w:styleId="STCar" w:customStyle="1">
    <w:name w:val="ST Car"/>
    <w:qFormat/>
    <w:rPr>
      <w:rFonts w:ascii="Calibri" w:hAnsi="Calibri" w:cs="Times New Roman"/>
      <w:sz w:val="28"/>
    </w:rPr>
  </w:style>
  <w:style w:type="character" w:styleId="PCar" w:customStyle="1">
    <w:name w:val="P Car"/>
    <w:qFormat/>
    <w:rPr>
      <w:rFonts w:ascii="Calibri" w:hAnsi="Calibri" w:cs="Arial"/>
      <w:sz w:val="20"/>
      <w:szCs w:val="20"/>
    </w:rPr>
  </w:style>
  <w:style w:type="character" w:styleId="B1Car" w:customStyle="1">
    <w:name w:val="B1 Car"/>
    <w:qFormat/>
    <w:rPr>
      <w:rFonts w:ascii="Calibri" w:hAnsi="Calibri" w:cs="Arial"/>
      <w:sz w:val="20"/>
      <w:szCs w:val="20"/>
    </w:rPr>
  </w:style>
  <w:style w:type="character" w:styleId="Lev1" w:customStyle="1">
    <w:name w:val="Élevé1"/>
    <w:qFormat/>
    <w:rPr>
      <w:rFonts w:cs="Times New Roman"/>
      <w:b/>
      <w:bCs/>
    </w:rPr>
  </w:style>
  <w:style w:type="character" w:styleId="P-BCar" w:customStyle="1">
    <w:name w:val="P-B Car"/>
    <w:qFormat/>
    <w:rPr>
      <w:rFonts w:ascii="Calibri" w:hAnsi="Calibri" w:cs="Arial"/>
      <w:sz w:val="20"/>
      <w:szCs w:val="20"/>
    </w:rPr>
  </w:style>
  <w:style w:type="character" w:styleId="TableauCar" w:customStyle="1">
    <w:name w:val="Tableau Car"/>
    <w:qFormat/>
    <w:rPr>
      <w:rFonts w:ascii="Calibri" w:hAnsi="Calibri" w:cs="Arial"/>
      <w:sz w:val="18"/>
      <w:szCs w:val="18"/>
    </w:rPr>
  </w:style>
  <w:style w:type="character" w:styleId="COPILCOCORCar" w:customStyle="1">
    <w:name w:val="COPIL/COCOR Car"/>
    <w:qFormat/>
    <w:rPr>
      <w:rFonts w:ascii="Calibri" w:hAnsi="Calibri" w:cs="Calibri"/>
      <w:b/>
      <w:bCs/>
      <w:color w:val="FFFFFF"/>
      <w:sz w:val="20"/>
      <w:szCs w:val="20"/>
    </w:rPr>
  </w:style>
  <w:style w:type="character" w:styleId="Titre4Car" w:customStyle="1">
    <w:name w:val="Titre 4 Car"/>
    <w:qFormat/>
    <w:rPr>
      <w:rFonts w:ascii="Calibri Light" w:hAnsi="Calibri Light" w:eastAsia="SimSun;宋体" w:cs="Times New Roman"/>
      <w:i/>
      <w:iCs/>
      <w:sz w:val="24"/>
      <w:szCs w:val="24"/>
    </w:rPr>
  </w:style>
  <w:style w:type="character" w:styleId="Mentionnonrsolue1" w:customStyle="1">
    <w:name w:val="Mention non résolue1"/>
    <w:qFormat/>
    <w:rPr>
      <w:color w:val="808080"/>
      <w:shd w:fill="E6E6E6" w:val="clear"/>
    </w:rPr>
  </w:style>
  <w:style w:type="character" w:styleId="CorpsdetexteCar1" w:customStyle="1">
    <w:name w:val="Corps de texte Car1"/>
    <w:qFormat/>
    <w:rPr>
      <w:rFonts w:ascii="Calibri" w:hAnsi="Calibri" w:cs="Calibri"/>
    </w:rPr>
  </w:style>
  <w:style w:type="character" w:styleId="TextedebullesCar2" w:customStyle="1">
    <w:name w:val="Texte de bulles Car2"/>
    <w:qFormat/>
    <w:rPr>
      <w:rFonts w:ascii="Tahoma" w:hAnsi="Tahoma" w:cs="Tahoma"/>
      <w:color w:val="00000A"/>
      <w:kern w:val="2"/>
      <w:sz w:val="16"/>
      <w:szCs w:val="16"/>
    </w:rPr>
  </w:style>
  <w:style w:type="character" w:styleId="WW-Marquedecommentaire1" w:customStyle="1">
    <w:name w:val="WW-Marque de commentaire1"/>
    <w:qFormat/>
    <w:rPr>
      <w:sz w:val="16"/>
      <w:szCs w:val="16"/>
    </w:rPr>
  </w:style>
  <w:style w:type="character" w:styleId="CommentaireCar2" w:customStyle="1">
    <w:name w:val="Commentaire Car2"/>
    <w:qFormat/>
    <w:rPr>
      <w:rFonts w:ascii="Calibri" w:hAnsi="Calibri" w:cs="Calibri"/>
      <w:color w:val="00000A"/>
      <w:kern w:val="2"/>
    </w:rPr>
  </w:style>
  <w:style w:type="character" w:styleId="ObjetducommentaireCar2" w:customStyle="1">
    <w:name w:val="Objet du commentaire Car2"/>
    <w:qFormat/>
    <w:rPr>
      <w:rFonts w:ascii="Calibri" w:hAnsi="Calibri" w:cs="Calibri"/>
      <w:b/>
      <w:bCs/>
      <w:color w:val="00000A"/>
      <w:kern w:val="2"/>
    </w:rPr>
  </w:style>
  <w:style w:type="character" w:styleId="Marquedecommentaire2" w:customStyle="1">
    <w:name w:val="Marque de commentaire2"/>
    <w:qFormat/>
    <w:rPr>
      <w:sz w:val="16"/>
      <w:szCs w:val="16"/>
    </w:rPr>
  </w:style>
  <w:style w:type="character" w:styleId="CommentaireCar3" w:customStyle="1">
    <w:name w:val="Commentaire Car3"/>
    <w:qFormat/>
    <w:rPr>
      <w:rFonts w:ascii="Calibri" w:hAnsi="Calibri" w:cs="Calibri"/>
      <w:color w:val="00000A"/>
      <w:kern w:val="2"/>
    </w:rPr>
  </w:style>
  <w:style w:type="character" w:styleId="Fontstyle01" w:customStyle="1">
    <w:name w:val="fontstyle01"/>
    <w:qFormat/>
    <w:rPr>
      <w:rFonts w:ascii="Calibri" w:hAnsi="Calibri" w:cs="Calibri"/>
      <w:b w:val="false"/>
      <w:bCs w:val="false"/>
      <w:i w:val="false"/>
      <w:iCs w:val="false"/>
      <w:color w:val="000000"/>
      <w:sz w:val="20"/>
      <w:szCs w:val="20"/>
    </w:rPr>
  </w:style>
  <w:style w:type="character" w:styleId="Fontstyle21" w:customStyle="1">
    <w:name w:val="fontstyle21"/>
    <w:qFormat/>
    <w:rPr>
      <w:rFonts w:ascii="Book Antiqua" w:hAnsi="Book Antiqua" w:cs="Book Antiqua"/>
      <w:b w:val="false"/>
      <w:bCs w:val="false"/>
      <w:i w:val="false"/>
      <w:iCs w:val="false"/>
      <w:color w:val="000000"/>
      <w:sz w:val="22"/>
      <w:szCs w:val="22"/>
    </w:rPr>
  </w:style>
  <w:style w:type="character" w:styleId="Puces" w:customStyle="1">
    <w:name w:val="Puces"/>
    <w:qFormat/>
    <w:rPr>
      <w:rFonts w:ascii="OpenSymbol;Arial Unicode MS" w:hAnsi="OpenSymbol;Arial Unicode MS" w:eastAsia="OpenSymbol;Arial Unicode MS" w:cs="OpenSymbol;Arial Unicode MS"/>
    </w:rPr>
  </w:style>
  <w:style w:type="character" w:styleId="Annotationreference">
    <w:name w:val="annotation reference"/>
    <w:qFormat/>
    <w:rPr>
      <w:sz w:val="16"/>
      <w:szCs w:val="16"/>
    </w:rPr>
  </w:style>
  <w:style w:type="character" w:styleId="CommentaireCar4" w:customStyle="1">
    <w:name w:val="Commentaire Car4"/>
    <w:qFormat/>
    <w:rPr>
      <w:rFonts w:ascii="Calibri" w:hAnsi="Calibri" w:cs="Calibri"/>
      <w:color w:val="00000A"/>
      <w:kern w:val="2"/>
    </w:rPr>
  </w:style>
  <w:style w:type="character" w:styleId="NotedebasdepageCar1" w:customStyle="1">
    <w:name w:val="Note de bas de page Car1"/>
    <w:qFormat/>
    <w:rPr>
      <w:rFonts w:ascii="Calibri" w:hAnsi="Calibri" w:cs="Calibri"/>
      <w:color w:val="00000A"/>
      <w:kern w:val="2"/>
    </w:rPr>
  </w:style>
  <w:style w:type="character" w:styleId="Caractresdenotedebasdepage" w:customStyle="1">
    <w:name w:val="Caractères de note de bas de page"/>
    <w:qFormat/>
    <w:rPr>
      <w:vertAlign w:val="superscript"/>
    </w:rPr>
  </w:style>
  <w:style w:type="character" w:styleId="IntenseReference">
    <w:name w:val="Intense Reference"/>
    <w:qFormat/>
    <w:rPr>
      <w:b/>
      <w:bCs/>
      <w:smallCaps/>
      <w:color w:val="000000"/>
      <w:u w:val="single"/>
    </w:rPr>
  </w:style>
  <w:style w:type="character" w:styleId="CitationintenseCar" w:customStyle="1">
    <w:name w:val="Citation intense Car"/>
    <w:qFormat/>
    <w:rPr>
      <w:rFonts w:ascii="Calibri Light" w:hAnsi="Calibri Light" w:eastAsia="SimSun;宋体" w:cs="Times New Roman"/>
      <w:sz w:val="26"/>
      <w:szCs w:val="26"/>
    </w:rPr>
  </w:style>
  <w:style w:type="character" w:styleId="IntenseEmphasis">
    <w:name w:val="Intense Emphasis"/>
    <w:qFormat/>
    <w:rPr>
      <w:b/>
      <w:bCs/>
      <w:i/>
      <w:iCs/>
      <w:color w:val="000000"/>
    </w:rPr>
  </w:style>
  <w:style w:type="character" w:styleId="Titre5Car" w:customStyle="1">
    <w:name w:val="Titre 5 Car"/>
    <w:qFormat/>
    <w:rPr>
      <w:rFonts w:ascii="Calibri Light" w:hAnsi="Calibri Light" w:eastAsia="SimSun;宋体" w:cs="Times New Roman"/>
      <w:b/>
      <w:bCs/>
    </w:rPr>
  </w:style>
  <w:style w:type="character" w:styleId="Titre6Car" w:customStyle="1">
    <w:name w:val="Titre 6 Car"/>
    <w:qFormat/>
    <w:rPr>
      <w:rFonts w:ascii="Calibri Light" w:hAnsi="Calibri Light" w:eastAsia="SimSun;宋体" w:cs="Times New Roman"/>
      <w:b/>
      <w:bCs/>
      <w:i/>
      <w:iCs/>
    </w:rPr>
  </w:style>
  <w:style w:type="character" w:styleId="Titre7Car" w:customStyle="1">
    <w:name w:val="Titre 7 Car"/>
    <w:qFormat/>
    <w:rPr>
      <w:i/>
      <w:iCs/>
    </w:rPr>
  </w:style>
  <w:style w:type="character" w:styleId="Titre8Car" w:customStyle="1">
    <w:name w:val="Titre 8 Car"/>
    <w:qFormat/>
    <w:rPr>
      <w:b/>
      <w:bCs/>
    </w:rPr>
  </w:style>
  <w:style w:type="character" w:styleId="Titre9Car" w:customStyle="1">
    <w:name w:val="Titre 9 Car"/>
    <w:qFormat/>
    <w:rPr>
      <w:i/>
      <w:iCs/>
    </w:rPr>
  </w:style>
  <w:style w:type="character" w:styleId="TitreCar2" w:customStyle="1">
    <w:name w:val="Titre Car2"/>
    <w:qFormat/>
    <w:rPr>
      <w:rFonts w:ascii="Calibri Light" w:hAnsi="Calibri Light" w:eastAsia="Times New Roman" w:cs="Times New Roman"/>
      <w:b/>
      <w:bCs/>
      <w:kern w:val="2"/>
      <w:sz w:val="32"/>
      <w:szCs w:val="32"/>
    </w:rPr>
  </w:style>
  <w:style w:type="character" w:styleId="CitationCar" w:customStyle="1">
    <w:name w:val="Citation Car"/>
    <w:qFormat/>
    <w:rPr>
      <w:rFonts w:ascii="Calibri Light" w:hAnsi="Calibri Light" w:eastAsia="SimSun;宋体" w:cs="Times New Roman"/>
      <w:i/>
      <w:iCs/>
      <w:sz w:val="24"/>
      <w:szCs w:val="24"/>
    </w:rPr>
  </w:style>
  <w:style w:type="character" w:styleId="SubtleEmphasis">
    <w:name w:val="Subtle Emphasis"/>
    <w:qFormat/>
    <w:rPr>
      <w:i/>
      <w:iCs/>
      <w:color w:val="000000"/>
    </w:rPr>
  </w:style>
  <w:style w:type="character" w:styleId="SubtleReference">
    <w:name w:val="Subtle Reference"/>
    <w:qFormat/>
    <w:rPr>
      <w:smallCaps/>
      <w:color w:val="000000"/>
      <w:u w:val="single" w:color="7F7F7F"/>
    </w:rPr>
  </w:style>
  <w:style w:type="character" w:styleId="BookTitle">
    <w:name w:val="Book Title"/>
    <w:qFormat/>
    <w:rPr>
      <w:b/>
      <w:bCs/>
      <w:smallCaps/>
      <w:color w:val="000000"/>
    </w:rPr>
  </w:style>
  <w:style w:type="character" w:styleId="LienInternetvisit" w:customStyle="1">
    <w:name w:val="FollowedHyperlink"/>
    <w:rPr>
      <w:color w:val="954F72"/>
      <w:u w:val="single"/>
    </w:rPr>
  </w:style>
  <w:style w:type="character" w:styleId="Numrotationdelignes" w:customStyle="1">
    <w:name w:val="Line Numbe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widowControl w:val="false"/>
      <w:spacing w:lineRule="auto" w:line="240" w:before="0" w:after="120"/>
    </w:pPr>
    <w:rPr>
      <w:rFonts w:ascii="Arial" w:hAnsi="Arial" w:cs="Arial"/>
      <w:lang w:val="fr-CA"/>
    </w:rPr>
  </w:style>
  <w:style w:type="paragraph" w:styleId="Liste">
    <w:name w:val="List"/>
    <w:basedOn w:val="Normal"/>
    <w:pPr>
      <w:widowControl w:val="false"/>
    </w:pPr>
    <w:rPr>
      <w:rFonts w:ascii="Liberation Sans;Arial" w:hAnsi="Liberation Sans;Arial"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Arial" w:hAnsi="Liberation Sans;Arial" w:cs="Mangal"/>
    </w:rPr>
  </w:style>
  <w:style w:type="paragraph" w:styleId="Titreprincipal">
    <w:name w:val="Title"/>
    <w:basedOn w:val="Normal"/>
    <w:next w:val="Normal"/>
    <w:qFormat/>
    <w:pPr>
      <w:spacing w:lineRule="auto" w:line="240" w:before="0" w:after="0"/>
      <w:contextualSpacing/>
      <w:jc w:val="center"/>
    </w:pPr>
    <w:rPr>
      <w:rFonts w:ascii="Calibri Light" w:hAnsi="Calibri Light" w:eastAsia="SimSun;宋体"/>
      <w:b/>
      <w:bCs/>
      <w:spacing w:val="-7"/>
      <w:sz w:val="48"/>
      <w:szCs w:val="48"/>
    </w:rPr>
  </w:style>
  <w:style w:type="paragraph" w:styleId="Caption">
    <w:name w:val="caption"/>
    <w:basedOn w:val="Normal"/>
    <w:next w:val="Normal"/>
    <w:qFormat/>
    <w:pPr/>
    <w:rPr>
      <w:b/>
      <w:bCs/>
      <w:sz w:val="18"/>
      <w:szCs w:val="18"/>
    </w:rPr>
  </w:style>
  <w:style w:type="paragraph" w:styleId="Titre51" w:customStyle="1">
    <w:name w:val="Titre5"/>
    <w:basedOn w:val="Normal"/>
    <w:next w:val="Corpsdetexte"/>
    <w:qFormat/>
    <w:pPr>
      <w:keepNext w:val="true"/>
      <w:spacing w:before="240" w:after="120"/>
    </w:pPr>
    <w:rPr>
      <w:rFonts w:ascii="Arial" w:hAnsi="Arial" w:eastAsia="Microsoft YaHei" w:cs="Arial"/>
      <w:sz w:val="28"/>
      <w:szCs w:val="28"/>
    </w:rPr>
  </w:style>
  <w:style w:type="paragraph" w:styleId="Lgende3" w:customStyle="1">
    <w:name w:val="Légende3"/>
    <w:basedOn w:val="Normal"/>
    <w:qFormat/>
    <w:pPr>
      <w:suppressLineNumbers/>
      <w:spacing w:before="120" w:after="120"/>
    </w:pPr>
    <w:rPr>
      <w:rFonts w:cs="Mangal"/>
      <w:i/>
      <w:iCs/>
      <w:sz w:val="24"/>
      <w:szCs w:val="24"/>
    </w:rPr>
  </w:style>
  <w:style w:type="paragraph" w:styleId="Titre41" w:customStyle="1">
    <w:name w:val="Titre4"/>
    <w:basedOn w:val="Normal"/>
    <w:next w:val="Corpsdetexte"/>
    <w:qFormat/>
    <w:pPr>
      <w:keepNext w:val="true"/>
      <w:spacing w:before="240" w:after="120"/>
    </w:pPr>
    <w:rPr>
      <w:rFonts w:ascii="Liberation Sans;Arial" w:hAnsi="Liberation Sans;Arial" w:eastAsia="Microsoft YaHei" w:cs="Arial"/>
      <w:sz w:val="28"/>
      <w:szCs w:val="28"/>
    </w:rPr>
  </w:style>
  <w:style w:type="paragraph" w:styleId="Titre31" w:customStyle="1">
    <w:name w:val="Titre3"/>
    <w:basedOn w:val="Normal"/>
    <w:next w:val="Sous-titre"/>
    <w:qFormat/>
    <w:pPr>
      <w:spacing w:lineRule="atLeast" w:line="100" w:before="0" w:after="0"/>
      <w:ind w:left="2552" w:hanging="0"/>
    </w:pPr>
    <w:rPr>
      <w:b/>
      <w:color w:val="800000"/>
      <w:sz w:val="36"/>
    </w:rPr>
  </w:style>
  <w:style w:type="paragraph" w:styleId="Titre21" w:customStyle="1">
    <w:name w:val="Titre2"/>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Lgende1" w:customStyle="1">
    <w:name w:val="Légende1"/>
    <w:basedOn w:val="Normal"/>
    <w:qFormat/>
    <w:pPr>
      <w:suppressLineNumbers/>
      <w:spacing w:before="120" w:after="120"/>
    </w:pPr>
    <w:rPr>
      <w:rFonts w:cs="Mangal"/>
      <w:i/>
      <w:iCs/>
      <w:sz w:val="24"/>
      <w:szCs w:val="24"/>
    </w:rPr>
  </w:style>
  <w:style w:type="paragraph" w:styleId="Sous-titre">
    <w:name w:val="Subtitle"/>
    <w:basedOn w:val="Normal"/>
    <w:next w:val="Normal"/>
    <w:qFormat/>
    <w:pPr>
      <w:spacing w:before="0" w:after="240"/>
      <w:jc w:val="center"/>
    </w:pPr>
    <w:rPr>
      <w:rFonts w:ascii="Calibri Light" w:hAnsi="Calibri Light" w:eastAsia="SimSun;宋体"/>
      <w:sz w:val="24"/>
      <w:szCs w:val="24"/>
    </w:rPr>
  </w:style>
  <w:style w:type="paragraph" w:styleId="Lgende2" w:customStyle="1">
    <w:name w:val="Légende2"/>
    <w:basedOn w:val="Normal"/>
    <w:qFormat/>
    <w:pPr>
      <w:suppressLineNumbers/>
      <w:spacing w:before="120" w:after="120"/>
    </w:pPr>
    <w:rPr>
      <w:rFonts w:ascii="Liberation Sans;Arial" w:hAnsi="Liberation Sans;Arial" w:cs="Mangal"/>
      <w:i/>
      <w:iCs/>
      <w:sz w:val="24"/>
      <w:szCs w:val="24"/>
    </w:rPr>
  </w:style>
  <w:style w:type="paragraph" w:styleId="Titre11" w:customStyle="1">
    <w:name w:val="Titre1"/>
    <w:basedOn w:val="Normal"/>
    <w:qFormat/>
    <w:pPr>
      <w:keepNext w:val="true"/>
      <w:spacing w:before="240" w:after="120"/>
    </w:pPr>
    <w:rPr>
      <w:rFonts w:ascii="Liberation Sans;Arial" w:hAnsi="Liberation Sans;Arial" w:eastAsia="Microsoft YaHei" w:cs="Mangal"/>
      <w:sz w:val="28"/>
      <w:szCs w:val="28"/>
    </w:rPr>
  </w:style>
  <w:style w:type="paragraph" w:styleId="TextBody" w:customStyle="1">
    <w:name w:val="Text Body"/>
    <w:basedOn w:val="Normal"/>
    <w:qFormat/>
    <w:pPr>
      <w:spacing w:lineRule="auto" w:line="288" w:before="60" w:after="40"/>
    </w:pPr>
    <w:rPr>
      <w:rFonts w:ascii="Arial" w:hAnsi="Arial" w:cs="Arial"/>
      <w:sz w:val="18"/>
      <w:lang w:val="fr-CA"/>
    </w:rPr>
  </w:style>
  <w:style w:type="paragraph" w:styleId="Texte" w:customStyle="1">
    <w:name w:val="Texte"/>
    <w:basedOn w:val="Normal"/>
    <w:qFormat/>
    <w:pPr>
      <w:spacing w:lineRule="atLeast" w:line="100" w:before="0" w:after="0"/>
    </w:pPr>
    <w:rPr>
      <w:rFonts w:ascii="Frutiger LT Std 45 Light" w:hAnsi="Frutiger LT Std 45 Light" w:cs="Frutiger LT Std 45 Light"/>
      <w:sz w:val="20"/>
      <w:szCs w:val="20"/>
    </w:rPr>
  </w:style>
  <w:style w:type="paragraph" w:styleId="Pied" w:customStyle="1">
    <w:name w:val="Pied"/>
    <w:basedOn w:val="Normal"/>
    <w:qFormat/>
    <w:pPr>
      <w:widowControl w:val="false"/>
      <w:spacing w:lineRule="atLeast" w:line="100" w:before="0" w:after="0"/>
      <w:jc w:val="center"/>
    </w:pPr>
    <w:rPr>
      <w:rFonts w:ascii="Frutiger LT Std 55 Roman" w:hAnsi="Frutiger LT Std 55 Roman" w:cs="Frutiger LT Std 55 Roman"/>
      <w:color w:val="4D4D4D"/>
      <w:spacing w:val="20"/>
      <w:sz w:val="20"/>
      <w:szCs w:val="20"/>
    </w:rPr>
  </w:style>
  <w:style w:type="paragraph" w:styleId="En-tteetpieddepage" w:customStyle="1">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Normal"/>
    <w:pPr>
      <w:spacing w:lineRule="atLeast" w:line="100" w:before="0" w:after="0"/>
    </w:pPr>
    <w:rPr>
      <w:sz w:val="20"/>
      <w:szCs w:val="20"/>
    </w:rPr>
  </w:style>
  <w:style w:type="paragraph" w:styleId="Pieddepage">
    <w:name w:val="Footer"/>
    <w:basedOn w:val="Normal"/>
    <w:pPr>
      <w:spacing w:lineRule="atLeast" w:line="100" w:before="0" w:after="0"/>
    </w:pPr>
    <w:rPr>
      <w:sz w:val="20"/>
      <w:szCs w:val="20"/>
    </w:rPr>
  </w:style>
  <w:style w:type="paragraph" w:styleId="NormalWeb">
    <w:name w:val="Normal (Web)"/>
    <w:basedOn w:val="Normal"/>
    <w:qFormat/>
    <w:pPr>
      <w:spacing w:lineRule="atLeast" w:line="100" w:before="280" w:after="280"/>
    </w:pPr>
    <w:rPr>
      <w:rFonts w:ascii="Times New Roman" w:hAnsi="Times New Roman"/>
      <w:sz w:val="24"/>
      <w:szCs w:val="24"/>
    </w:rPr>
  </w:style>
  <w:style w:type="paragraph" w:styleId="Pa7" w:customStyle="1">
    <w:name w:val="Pa7"/>
    <w:basedOn w:val="Normal"/>
    <w:qFormat/>
    <w:pPr>
      <w:spacing w:lineRule="atLeast" w:line="161" w:before="0" w:after="0"/>
    </w:pPr>
    <w:rPr>
      <w:rFonts w:ascii="Boton BQ Bold" w:hAnsi="Boton BQ Bold" w:cs="Boton BQ Bold"/>
      <w:sz w:val="24"/>
      <w:szCs w:val="24"/>
    </w:rPr>
  </w:style>
  <w:style w:type="paragraph" w:styleId="Paragraphedeliste1" w:customStyle="1">
    <w:name w:val="Paragraphe de liste1"/>
    <w:basedOn w:val="Normal"/>
    <w:qFormat/>
    <w:pPr>
      <w:spacing w:lineRule="auto" w:line="360" w:before="0" w:after="0"/>
      <w:ind w:left="720" w:hanging="0"/>
    </w:pPr>
    <w:rPr>
      <w:szCs w:val="20"/>
    </w:rPr>
  </w:style>
  <w:style w:type="paragraph" w:styleId="Textedebulles1" w:customStyle="1">
    <w:name w:val="Texte de bulles1"/>
    <w:basedOn w:val="Normal"/>
    <w:qFormat/>
    <w:pPr>
      <w:spacing w:lineRule="atLeast" w:line="100" w:before="0" w:after="0"/>
    </w:pPr>
    <w:rPr>
      <w:rFonts w:ascii="Tahoma" w:hAnsi="Tahoma" w:cs="Tahoma"/>
      <w:sz w:val="16"/>
      <w:szCs w:val="16"/>
    </w:rPr>
  </w:style>
  <w:style w:type="paragraph" w:styleId="Commentaire1" w:customStyle="1">
    <w:name w:val="Commentaire1"/>
    <w:basedOn w:val="Normal"/>
    <w:qFormat/>
    <w:pPr>
      <w:spacing w:lineRule="atLeast" w:line="100"/>
    </w:pPr>
    <w:rPr>
      <w:sz w:val="20"/>
      <w:szCs w:val="20"/>
    </w:rPr>
  </w:style>
  <w:style w:type="paragraph" w:styleId="Objetducommentaire1" w:customStyle="1">
    <w:name w:val="Objet du commentaire1"/>
    <w:basedOn w:val="Commentaire1"/>
    <w:qFormat/>
    <w:pPr/>
    <w:rPr>
      <w:b/>
      <w:bCs/>
    </w:rPr>
  </w:style>
  <w:style w:type="paragraph" w:styleId="Rvision1" w:customStyle="1">
    <w:name w:val="Révision1"/>
    <w:qFormat/>
    <w:pPr>
      <w:widowControl/>
      <w:suppressAutoHyphens w:val="true"/>
      <w:bidi w:val="0"/>
      <w:spacing w:lineRule="auto" w:line="276" w:before="0" w:after="200"/>
      <w:jc w:val="both"/>
    </w:pPr>
    <w:rPr>
      <w:rFonts w:ascii="Calibri" w:hAnsi="Calibri" w:eastAsia="Times New Roman" w:cs="Calibri"/>
      <w:color w:val="00000A"/>
      <w:kern w:val="2"/>
      <w:sz w:val="22"/>
      <w:szCs w:val="22"/>
      <w:lang w:bidi="ar-SA" w:val="fr-FR" w:eastAsia="zh-CN"/>
    </w:rPr>
  </w:style>
  <w:style w:type="paragraph" w:styleId="Paragraphe" w:customStyle="1">
    <w:name w:val="Paragraphe"/>
    <w:basedOn w:val="Normal"/>
    <w:qFormat/>
    <w:pPr>
      <w:spacing w:lineRule="atLeast" w:line="320" w:before="0" w:after="120"/>
    </w:pPr>
    <w:rPr>
      <w:rFonts w:ascii="Arial" w:hAnsi="Arial" w:cs="Arial"/>
    </w:rPr>
  </w:style>
  <w:style w:type="paragraph" w:styleId="Contents1" w:customStyle="1">
    <w:name w:val="Contents 1"/>
    <w:basedOn w:val="Normal"/>
    <w:qFormat/>
    <w:pPr>
      <w:spacing w:lineRule="atLeast" w:line="100" w:before="60" w:after="0"/>
      <w:jc w:val="center"/>
    </w:pPr>
    <w:rPr>
      <w:rFonts w:ascii="Arial" w:hAnsi="Arial" w:cs="Arial"/>
      <w:sz w:val="20"/>
      <w:szCs w:val="20"/>
    </w:rPr>
  </w:style>
  <w:style w:type="paragraph" w:styleId="Contents2" w:customStyle="1">
    <w:name w:val="Contents 2"/>
    <w:basedOn w:val="Normal"/>
    <w:qFormat/>
    <w:pPr>
      <w:spacing w:lineRule="atLeast" w:line="100" w:before="0" w:after="0"/>
      <w:ind w:left="198" w:hanging="0"/>
    </w:pPr>
    <w:rPr>
      <w:rFonts w:ascii="Arial" w:hAnsi="Arial" w:cs="Arial"/>
      <w:i/>
      <w:iCs/>
      <w:sz w:val="20"/>
      <w:szCs w:val="20"/>
    </w:rPr>
  </w:style>
  <w:style w:type="paragraph" w:styleId="Tablebodytext" w:customStyle="1">
    <w:name w:val="*Table body text"/>
    <w:basedOn w:val="Normal"/>
    <w:qFormat/>
    <w:pPr>
      <w:spacing w:lineRule="atLeast" w:line="100" w:before="0" w:after="0"/>
    </w:pPr>
    <w:rPr>
      <w:rFonts w:ascii="Verdana" w:hAnsi="Verdana" w:cs="Verdana"/>
      <w:sz w:val="18"/>
      <w:szCs w:val="24"/>
    </w:rPr>
  </w:style>
  <w:style w:type="paragraph" w:styleId="TableTitle" w:customStyle="1">
    <w:name w:val="*Table Title"/>
    <w:basedOn w:val="Normal"/>
    <w:qFormat/>
    <w:pPr>
      <w:spacing w:lineRule="atLeast" w:line="100" w:before="0" w:after="0"/>
      <w:jc w:val="center"/>
    </w:pPr>
    <w:rPr>
      <w:rFonts w:ascii="Verdana" w:hAnsi="Verdana" w:cs="Verdana"/>
      <w:b/>
      <w:color w:val="FFFFFF"/>
      <w:sz w:val="18"/>
      <w:szCs w:val="24"/>
    </w:rPr>
  </w:style>
  <w:style w:type="paragraph" w:styleId="Contents3" w:customStyle="1">
    <w:name w:val="Contents 3"/>
    <w:basedOn w:val="Normal"/>
    <w:qFormat/>
    <w:pPr>
      <w:spacing w:before="0" w:after="100"/>
      <w:ind w:left="440" w:hanging="0"/>
    </w:pPr>
    <w:rPr/>
  </w:style>
  <w:style w:type="paragraph" w:styleId="Explorateurdedocuments1" w:customStyle="1">
    <w:name w:val="Explorateur de documents1"/>
    <w:basedOn w:val="Normal"/>
    <w:qFormat/>
    <w:pPr>
      <w:shd w:val="clear" w:color="auto" w:fill="000080"/>
    </w:pPr>
    <w:rPr>
      <w:rFonts w:ascii="Tahoma" w:hAnsi="Tahoma" w:cs="Tahoma"/>
      <w:sz w:val="20"/>
      <w:szCs w:val="20"/>
    </w:rPr>
  </w:style>
  <w:style w:type="paragraph" w:styleId="Paragraphedeliste2" w:customStyle="1">
    <w:name w:val="Paragraphe de liste2"/>
    <w:basedOn w:val="Normal"/>
    <w:qFormat/>
    <w:pPr>
      <w:spacing w:lineRule="auto" w:line="360" w:before="0" w:after="0"/>
      <w:ind w:left="720" w:hanging="0"/>
    </w:pPr>
    <w:rPr>
      <w:szCs w:val="20"/>
    </w:rPr>
  </w:style>
  <w:style w:type="paragraph" w:styleId="Rvision2" w:customStyle="1">
    <w:name w:val="Révision2"/>
    <w:qFormat/>
    <w:pPr>
      <w:widowControl/>
      <w:suppressAutoHyphens w:val="true"/>
      <w:bidi w:val="0"/>
      <w:spacing w:lineRule="auto" w:line="276" w:before="0" w:after="200"/>
      <w:jc w:val="both"/>
    </w:pPr>
    <w:rPr>
      <w:rFonts w:ascii="Calibri" w:hAnsi="Calibri" w:eastAsia="Times New Roman" w:cs="Calibri"/>
      <w:color w:val="00000A"/>
      <w:kern w:val="2"/>
      <w:sz w:val="22"/>
      <w:szCs w:val="22"/>
      <w:lang w:bidi="ar-SA" w:val="fr-FR" w:eastAsia="zh-CN"/>
    </w:rPr>
  </w:style>
  <w:style w:type="paragraph" w:styleId="Listepuces1" w:customStyle="1">
    <w:name w:val="Liste à puces1"/>
    <w:basedOn w:val="Normal"/>
    <w:qFormat/>
    <w:pPr/>
    <w:rPr/>
  </w:style>
  <w:style w:type="paragraph" w:styleId="Tabledesmatiresniveau1">
    <w:name w:val="TOC 1"/>
    <w:basedOn w:val="Normal"/>
    <w:next w:val="Normal"/>
    <w:pPr>
      <w:spacing w:before="0" w:after="100"/>
    </w:pPr>
    <w:rPr/>
  </w:style>
  <w:style w:type="paragraph" w:styleId="Sansinterligne1" w:customStyle="1">
    <w:name w:val="Sans interligne1"/>
    <w:qFormat/>
    <w:pPr>
      <w:widowControl/>
      <w:suppressAutoHyphens w:val="true"/>
      <w:bidi w:val="0"/>
      <w:spacing w:lineRule="auto" w:line="252" w:before="0" w:after="160"/>
      <w:jc w:val="both"/>
    </w:pPr>
    <w:rPr>
      <w:rFonts w:ascii="Calibri" w:hAnsi="Calibri" w:eastAsia="Times New Roman" w:cs="Calibri"/>
      <w:color w:val="00000A"/>
      <w:kern w:val="2"/>
      <w:sz w:val="22"/>
      <w:szCs w:val="22"/>
      <w:lang w:bidi="ar-SA" w:val="fr-FR" w:eastAsia="zh-CN"/>
    </w:rPr>
  </w:style>
  <w:style w:type="paragraph" w:styleId="Sous-paragrapheCR" w:customStyle="1">
    <w:name w:val="Sous-paragraphe CR"/>
    <w:basedOn w:val="Paragraphedeliste2"/>
    <w:qFormat/>
    <w:pPr>
      <w:suppressAutoHyphens w:val="false"/>
      <w:spacing w:lineRule="auto" w:line="240" w:before="120" w:after="0"/>
      <w:ind w:left="0" w:hanging="0"/>
    </w:pPr>
    <w:rPr>
      <w:i/>
    </w:rPr>
  </w:style>
  <w:style w:type="paragraph" w:styleId="Notedefin1" w:customStyle="1">
    <w:name w:val="Note de fin1"/>
    <w:basedOn w:val="Normal"/>
    <w:qFormat/>
    <w:pPr>
      <w:spacing w:lineRule="auto" w:line="240" w:before="0" w:after="0"/>
    </w:pPr>
    <w:rPr>
      <w:sz w:val="20"/>
      <w:szCs w:val="20"/>
    </w:rPr>
  </w:style>
  <w:style w:type="paragraph" w:styleId="Notedebasdepage1" w:customStyle="1">
    <w:name w:val="Note de bas de page1"/>
    <w:basedOn w:val="Normal"/>
    <w:qFormat/>
    <w:pPr>
      <w:spacing w:lineRule="auto" w:line="240" w:before="0" w:after="0"/>
    </w:pPr>
    <w:rPr>
      <w:sz w:val="20"/>
      <w:szCs w:val="20"/>
    </w:rPr>
  </w:style>
  <w:style w:type="paragraph" w:styleId="ST" w:customStyle="1">
    <w:name w:val="ST"/>
    <w:basedOn w:val="Normal"/>
    <w:qFormat/>
    <w:pPr>
      <w:spacing w:lineRule="atLeast" w:line="100" w:before="0" w:after="0"/>
      <w:ind w:left="2552" w:hanging="0"/>
    </w:pPr>
    <w:rPr>
      <w:sz w:val="28"/>
    </w:rPr>
  </w:style>
  <w:style w:type="paragraph" w:styleId="P" w:customStyle="1">
    <w:name w:val="P"/>
    <w:basedOn w:val="Normal"/>
    <w:qFormat/>
    <w:pPr>
      <w:widowControl w:val="false"/>
      <w:spacing w:before="120" w:after="120"/>
    </w:pPr>
    <w:rPr>
      <w:rFonts w:cs="Arial"/>
      <w:sz w:val="20"/>
      <w:szCs w:val="20"/>
    </w:rPr>
  </w:style>
  <w:style w:type="paragraph" w:styleId="B1" w:customStyle="1">
    <w:name w:val="B1"/>
    <w:basedOn w:val="P"/>
    <w:qFormat/>
    <w:pPr>
      <w:spacing w:before="0" w:after="120"/>
    </w:pPr>
    <w:rPr/>
  </w:style>
  <w:style w:type="paragraph" w:styleId="P-B" w:customStyle="1">
    <w:name w:val="P-B"/>
    <w:basedOn w:val="P"/>
    <w:qFormat/>
    <w:pPr>
      <w:spacing w:before="120" w:after="0"/>
    </w:pPr>
    <w:rPr/>
  </w:style>
  <w:style w:type="paragraph" w:styleId="Tableau" w:customStyle="1">
    <w:name w:val="Tableau"/>
    <w:basedOn w:val="Normal"/>
    <w:qFormat/>
    <w:pPr>
      <w:suppressAutoHyphens w:val="false"/>
      <w:spacing w:lineRule="auto" w:line="240" w:before="0" w:after="0"/>
    </w:pPr>
    <w:rPr>
      <w:rFonts w:cs="Arial"/>
      <w:sz w:val="18"/>
      <w:szCs w:val="18"/>
    </w:rPr>
  </w:style>
  <w:style w:type="paragraph" w:styleId="COPILCOCOR" w:customStyle="1">
    <w:name w:val="COPIL/COCOR"/>
    <w:basedOn w:val="Titre1"/>
    <w:qFormat/>
    <w:pPr>
      <w:numPr>
        <w:ilvl w:val="0"/>
        <w:numId w:val="0"/>
      </w:numPr>
      <w:shd w:val="clear" w:color="auto" w:fill="FFFFFF"/>
      <w:spacing w:before="0" w:after="0"/>
      <w:ind w:left="432" w:hanging="432"/>
      <w:outlineLvl w:val="9"/>
    </w:pPr>
    <w:rPr>
      <w:color w:val="FFFFFF"/>
    </w:rPr>
  </w:style>
  <w:style w:type="paragraph" w:styleId="En-ttedetabledesmatires1" w:customStyle="1">
    <w:name w:val="En-tête de table des matières1"/>
    <w:basedOn w:val="Titre1"/>
    <w:next w:val="Normal"/>
    <w:qFormat/>
    <w:pPr>
      <w:numPr>
        <w:ilvl w:val="0"/>
        <w:numId w:val="0"/>
      </w:numPr>
      <w:shd w:val="clear" w:color="auto" w:fill="FFFFFF"/>
      <w:spacing w:before="480" w:after="0"/>
      <w:jc w:val="left"/>
      <w:outlineLvl w:val="9"/>
    </w:pPr>
    <w:rPr>
      <w:rFonts w:ascii="Cambria" w:hAnsi="Cambria" w:eastAsia="font224"/>
      <w:color w:val="365F91"/>
    </w:rPr>
  </w:style>
  <w:style w:type="paragraph" w:styleId="Tabledesmatiresniveau2">
    <w:name w:val="TOC 2"/>
    <w:basedOn w:val="Normal"/>
    <w:next w:val="Normal"/>
    <w:pPr>
      <w:spacing w:before="0" w:after="100"/>
      <w:ind w:left="220" w:hanging="0"/>
    </w:pPr>
    <w:rPr/>
  </w:style>
  <w:style w:type="paragraph" w:styleId="Tabledesmatiresniveau3">
    <w:name w:val="TOC 3"/>
    <w:basedOn w:val="Normal"/>
    <w:next w:val="Normal"/>
    <w:pPr>
      <w:spacing w:before="0" w:after="100"/>
      <w:ind w:left="440" w:hanging="0"/>
    </w:pPr>
    <w:rPr/>
  </w:style>
  <w:style w:type="paragraph" w:styleId="Default" w:customStyle="1">
    <w:name w:val="Default"/>
    <w:qFormat/>
    <w:pPr>
      <w:widowControl/>
      <w:suppressAutoHyphens w:val="true"/>
      <w:bidi w:val="0"/>
      <w:spacing w:lineRule="auto" w:line="252" w:before="0" w:after="160"/>
      <w:jc w:val="both"/>
    </w:pPr>
    <w:rPr>
      <w:rFonts w:ascii="Georgia" w:hAnsi="Georgia" w:eastAsia="Times New Roman" w:cs="Georgia"/>
      <w:color w:val="000000"/>
      <w:kern w:val="2"/>
      <w:sz w:val="24"/>
      <w:szCs w:val="24"/>
      <w:lang w:bidi="ar-SA" w:val="fr-FR" w:eastAsia="zh-CN"/>
    </w:rPr>
  </w:style>
  <w:style w:type="paragraph" w:styleId="Western" w:customStyle="1">
    <w:name w:val="western"/>
    <w:basedOn w:val="Normal"/>
    <w:qFormat/>
    <w:pPr>
      <w:suppressAutoHyphens w:val="false"/>
      <w:spacing w:lineRule="auto" w:line="240" w:before="280" w:after="280"/>
    </w:pPr>
    <w:rPr>
      <w:rFonts w:ascii="Times New Roman" w:hAnsi="Times New Roman"/>
      <w:sz w:val="24"/>
      <w:szCs w:val="24"/>
    </w:rPr>
  </w:style>
  <w:style w:type="paragraph" w:styleId="Contenudecadre" w:customStyle="1">
    <w:name w:val="Contenu de cadre"/>
    <w:basedOn w:val="Normal"/>
    <w:qFormat/>
    <w:pPr/>
    <w:rPr/>
  </w:style>
  <w:style w:type="paragraph" w:styleId="WW-Standard" w:customStyle="1">
    <w:name w:val="WW-Standard"/>
    <w:qFormat/>
    <w:pPr>
      <w:widowControl w:val="false"/>
      <w:suppressAutoHyphens w:val="true"/>
      <w:bidi w:val="0"/>
      <w:spacing w:lineRule="auto" w:line="252" w:before="0" w:after="160"/>
      <w:jc w:val="both"/>
      <w:textAlignment w:val="baseline"/>
    </w:pPr>
    <w:rPr>
      <w:rFonts w:ascii="Arial" w:hAnsi="Arial" w:eastAsia="Droid Sans Fallback" w:cs="Lohit Hindi"/>
      <w:color w:val="00000A"/>
      <w:kern w:val="2"/>
      <w:sz w:val="21"/>
      <w:szCs w:val="24"/>
      <w:lang w:val="fr-FR" w:eastAsia="zh-CN" w:bidi="hi-IN"/>
    </w:rPr>
  </w:style>
  <w:style w:type="paragraph" w:styleId="Contenuducadre" w:customStyle="1">
    <w:name w:val="Contenu du cadre"/>
    <w:basedOn w:val="Corpsdetexte"/>
    <w:qFormat/>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WW-Commentaire1" w:customStyle="1">
    <w:name w:val="WW-Commentaire1"/>
    <w:basedOn w:val="Normal"/>
    <w:qFormat/>
    <w:pPr/>
    <w:rPr>
      <w:sz w:val="20"/>
      <w:szCs w:val="20"/>
    </w:rPr>
  </w:style>
  <w:style w:type="paragraph" w:styleId="Annotationsubject">
    <w:name w:val="annotation subject"/>
    <w:basedOn w:val="WW-Commentaire1"/>
    <w:next w:val="WW-Commentaire1"/>
    <w:qFormat/>
    <w:pPr/>
    <w:rPr>
      <w:b/>
      <w:bCs/>
    </w:rPr>
  </w:style>
  <w:style w:type="paragraph" w:styleId="Commentaire2" w:customStyle="1">
    <w:name w:val="Commentaire2"/>
    <w:basedOn w:val="Normal"/>
    <w:qFormat/>
    <w:pPr/>
    <w:rPr>
      <w:sz w:val="20"/>
      <w:szCs w:val="20"/>
    </w:rPr>
  </w:style>
  <w:style w:type="paragraph" w:styleId="ListParagraph">
    <w:name w:val="List Paragraph"/>
    <w:basedOn w:val="Normal"/>
    <w:qFormat/>
    <w:pPr>
      <w:spacing w:before="0" w:after="160"/>
      <w:ind w:left="720" w:hanging="0"/>
      <w:contextualSpacing/>
    </w:pPr>
    <w:rPr/>
  </w:style>
  <w:style w:type="paragraph" w:styleId="Annotationtext">
    <w:name w:val="annotation text"/>
    <w:basedOn w:val="Normal"/>
    <w:qFormat/>
    <w:pPr/>
    <w:rPr>
      <w:sz w:val="20"/>
      <w:szCs w:val="20"/>
    </w:rPr>
  </w:style>
  <w:style w:type="paragraph" w:styleId="Notedebasdepage">
    <w:name w:val="Footnote Text"/>
    <w:basedOn w:val="Normal"/>
    <w:pPr/>
    <w:rPr>
      <w:sz w:val="20"/>
      <w:szCs w:val="20"/>
    </w:rPr>
  </w:style>
  <w:style w:type="paragraph" w:styleId="Revision">
    <w:name w:val="Revision"/>
    <w:qFormat/>
    <w:pPr>
      <w:widowControl/>
      <w:suppressAutoHyphens w:val="true"/>
      <w:bidi w:val="0"/>
      <w:spacing w:lineRule="auto" w:line="252" w:before="0" w:after="160"/>
      <w:jc w:val="both"/>
    </w:pPr>
    <w:rPr>
      <w:rFonts w:ascii="Calibri" w:hAnsi="Calibri" w:eastAsia="Times New Roman" w:cs="Calibri"/>
      <w:color w:val="00000A"/>
      <w:kern w:val="2"/>
      <w:sz w:val="22"/>
      <w:szCs w:val="22"/>
      <w:lang w:bidi="ar-SA" w:val="fr-FR" w:eastAsia="zh-CN"/>
    </w:rPr>
  </w:style>
  <w:style w:type="paragraph" w:styleId="IntenseQuote">
    <w:name w:val="Intense Quote"/>
    <w:basedOn w:val="Normal"/>
    <w:next w:val="Normal"/>
    <w:qFormat/>
    <w:pPr>
      <w:spacing w:before="280" w:after="240"/>
      <w:ind w:left="936" w:right="936" w:hanging="0"/>
      <w:jc w:val="center"/>
    </w:pPr>
    <w:rPr>
      <w:rFonts w:ascii="Calibri Light" w:hAnsi="Calibri Light" w:eastAsia="SimSun;宋体"/>
      <w:sz w:val="26"/>
      <w:szCs w:val="26"/>
    </w:rPr>
  </w:style>
  <w:style w:type="paragraph" w:styleId="NoSpacing">
    <w:name w:val="No Spacing"/>
    <w:qFormat/>
    <w:pPr>
      <w:widowControl/>
      <w:suppressAutoHyphens w:val="true"/>
      <w:bidi w:val="0"/>
      <w:spacing w:before="0" w:after="0"/>
      <w:jc w:val="both"/>
    </w:pPr>
    <w:rPr>
      <w:rFonts w:ascii="Calibri" w:hAnsi="Calibri" w:eastAsia="Times New Roman" w:cs="Times New Roman"/>
      <w:color w:val="auto"/>
      <w:kern w:val="0"/>
      <w:sz w:val="22"/>
      <w:szCs w:val="22"/>
      <w:lang w:bidi="ar-SA" w:val="fr-FR" w:eastAsia="zh-CN"/>
    </w:rPr>
  </w:style>
  <w:style w:type="paragraph" w:styleId="Quote">
    <w:name w:val="Quote"/>
    <w:basedOn w:val="Normal"/>
    <w:next w:val="Normal"/>
    <w:qFormat/>
    <w:pPr>
      <w:spacing w:lineRule="auto" w:line="264" w:before="200" w:after="160"/>
      <w:ind w:left="864" w:right="864" w:hanging="0"/>
      <w:jc w:val="center"/>
    </w:pPr>
    <w:rPr>
      <w:rFonts w:ascii="Calibri Light" w:hAnsi="Calibri Light" w:eastAsia="SimSun;宋体"/>
      <w:i/>
      <w:iCs/>
      <w:sz w:val="24"/>
      <w:szCs w:val="24"/>
    </w:rPr>
  </w:style>
  <w:style w:type="paragraph" w:styleId="Indexlexicaltitre">
    <w:name w:val="Index Heading"/>
    <w:basedOn w:val="Titre"/>
    <w:pPr/>
    <w:rPr/>
  </w:style>
  <w:style w:type="paragraph" w:styleId="Titredetabledesmatires">
    <w:name w:val="TOC Heading"/>
    <w:basedOn w:val="Titre1"/>
    <w:next w:val="Normal"/>
    <w:qFormat/>
    <w:pPr>
      <w:numPr>
        <w:ilvl w:val="0"/>
        <w:numId w:val="0"/>
      </w:numPr>
      <w:outlineLvl w:val="9"/>
    </w:pPr>
    <w:rPr>
      <w:rFonts w:ascii="Calibri Light" w:hAnsi="Calibri Light"/>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1.png"/><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header" Target="header8.xml"/><Relationship Id="rId29" Type="http://schemas.openxmlformats.org/officeDocument/2006/relationships/header" Target="header9.xml"/><Relationship Id="rId30" Type="http://schemas.openxmlformats.org/officeDocument/2006/relationships/footer" Target="footer8.xml"/><Relationship Id="rId31" Type="http://schemas.openxmlformats.org/officeDocument/2006/relationships/footer" Target="footer9.xml"/><Relationship Id="rId32" Type="http://schemas.openxmlformats.org/officeDocument/2006/relationships/comments" Target="comment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Relationship Id="rId3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AFF4-BC64-4A80-AAC9-C5785D83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LibreOffice/7.5.7.1.M1$Windows_X86_64 LibreOffice_project/9d4bf91ba30c991aaed3b97dd4173f7705c6b5ae</Application>
  <AppVersion>15.0000</AppVersion>
  <DocSecurity>4</DocSecurity>
  <Pages>30</Pages>
  <Words>7750</Words>
  <Characters>42630</Characters>
  <CharactersWithSpaces>50280</CharactersWithSpaces>
  <Paragraphs>100</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2024-03-20T14:26:00Z</dcterms:created>
  <dc:creator>FAUSSEMAGNEMA</dc:creator>
  <dc:description/>
  <dc:language>fr-FR</dc:language>
  <cp:lastModifiedBy>N-DIAYE Michèle</cp:lastModifiedBy>
  <cp:lastPrinted>2023-05-15T10:21:00Z</cp:lastPrinted>
  <dcterms:modified xsi:type="dcterms:W3CDTF">2024-03-20T14:26:00Z</dcterms:modified>
  <cp:revision>2</cp:revision>
  <dc:subject>Etude d'impact (PIA)</dc:subject>
  <dc:title>Etude d'impact (PIA)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